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Годовой о</w:t>
      </w:r>
      <w:r>
        <w:rPr>
          <w:b w:val="1"/>
          <w:sz w:val="28"/>
        </w:rPr>
        <w:t>тчёт управления образования Бел</w:t>
      </w:r>
      <w:r>
        <w:rPr>
          <w:b w:val="1"/>
          <w:sz w:val="28"/>
        </w:rPr>
        <w:t>озерского муниципального района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 реализации и оценке эффективности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  <w:r>
        <w:rPr>
          <w:b w:val="1"/>
          <w:sz w:val="28"/>
        </w:rPr>
        <w:t>«Содействие созданию в Белозерском муниципальном районе (исходя из прогнозируемой потребности) новых мест в общеобразовательных организациях»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на 2016 - 2025 годы </w:t>
      </w:r>
      <w:r>
        <w:rPr>
          <w:b w:val="1"/>
          <w:sz w:val="28"/>
        </w:rPr>
        <w:t>в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году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(утверждена п</w:t>
      </w:r>
      <w:r>
        <w:rPr>
          <w:sz w:val="28"/>
        </w:rPr>
        <w:t xml:space="preserve">остановление администрации района от </w:t>
      </w:r>
      <w:r>
        <w:rPr>
          <w:sz w:val="28"/>
        </w:rPr>
        <w:t>0</w:t>
      </w:r>
      <w:r>
        <w:rPr>
          <w:sz w:val="28"/>
        </w:rPr>
        <w:t>7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.201</w:t>
      </w:r>
      <w:r>
        <w:rPr>
          <w:sz w:val="28"/>
        </w:rPr>
        <w:t>5 № 935</w:t>
      </w:r>
      <w:r>
        <w:rPr>
          <w:sz w:val="28"/>
        </w:rPr>
        <w:t>).</w:t>
      </w:r>
    </w:p>
    <w:p w14:paraId="05000000">
      <w:pPr>
        <w:ind w:firstLine="708" w:left="0"/>
        <w:jc w:val="both"/>
        <w:rPr>
          <w:color w:val="000000"/>
          <w:sz w:val="28"/>
        </w:rPr>
      </w:pPr>
    </w:p>
    <w:p w14:paraId="06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Белозерском муниципальном районе обеспечено стабильное функционирование системы образования и созданы предпосылки для ее дальнейшего развития. Система образования района включает в себя  1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муниципальных образовательных учреждений, из них: 10 общеобразовательных учреждений, 5 дошкольных образовательных учреждений,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учреждения дополнительного образования, из которых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подведомственн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администрации района.</w:t>
      </w:r>
      <w:r>
        <w:rPr>
          <w:color w:val="000000"/>
          <w:sz w:val="28"/>
        </w:rPr>
        <w:t xml:space="preserve"> </w:t>
      </w:r>
    </w:p>
    <w:p w14:paraId="07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Управление образования является главным распорядителем бюджетных средств и органом, исполняющим функции и полномочия учредителя в отношении 1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муниципальных учреждений системы образования района.</w:t>
      </w:r>
      <w:r>
        <w:rPr>
          <w:color w:val="000000"/>
          <w:sz w:val="28"/>
        </w:rPr>
        <w:tab/>
      </w:r>
    </w:p>
    <w:p w14:paraId="08000000">
      <w:pPr>
        <w:tabs>
          <w:tab w:leader="none" w:pos="851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Определяющее влияние на развитие муниципальной системы образования оказывают демографические тенденции и социально – экономические условия. Снижение рождаемости и отток населения из сельской местности обусловили значительное снижение численности детского населения, в связи с чем произошло сокращение образовательных учреждений, особенно в сельской местности. За последние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сеть образовательных учреждений в сельской местности сократилась на 2дошкольных образовательных учреждения.  </w:t>
      </w:r>
    </w:p>
    <w:p w14:paraId="09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  <w:tab w:leader="none" w:pos="23364" w:val="left"/>
          <w:tab w:leader="none" w:pos="24072" w:val="left"/>
          <w:tab w:leader="none" w:pos="24780" w:val="left"/>
          <w:tab w:leader="none" w:pos="25488" w:val="left"/>
          <w:tab w:leader="none" w:pos="26196" w:val="left"/>
          <w:tab w:leader="none" w:pos="26904" w:val="left"/>
          <w:tab w:leader="none" w:pos="27612" w:val="left"/>
          <w:tab w:leader="none" w:pos="28320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Всего в муниципальных образовательных учреждениях Белозерского района воспитываются и </w:t>
      </w:r>
      <w:r>
        <w:rPr>
          <w:sz w:val="28"/>
        </w:rPr>
        <w:t>обучаются  2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>16</w:t>
      </w:r>
      <w:r>
        <w:rPr>
          <w:sz w:val="28"/>
        </w:rPr>
        <w:t xml:space="preserve"> </w:t>
      </w:r>
      <w:r>
        <w:rPr>
          <w:sz w:val="28"/>
        </w:rPr>
        <w:t>человек.</w:t>
      </w:r>
    </w:p>
    <w:p w14:paraId="0A000000">
      <w:pPr>
        <w:ind w:firstLine="708" w:left="0"/>
        <w:jc w:val="both"/>
        <w:rPr>
          <w:sz w:val="28"/>
        </w:rPr>
      </w:pPr>
      <w:r>
        <w:rPr>
          <w:sz w:val="28"/>
        </w:rPr>
        <w:t>Услуги дошкольного образования в районе предоставляют 5 дошкольных образовательных учреждений,  расположенных в городе, также на базе 7 сельских общеобразовательных учреждений функционируют 1</w:t>
      </w:r>
      <w:r>
        <w:rPr>
          <w:sz w:val="28"/>
        </w:rPr>
        <w:t>3</w:t>
      </w:r>
      <w:r>
        <w:rPr>
          <w:sz w:val="28"/>
        </w:rPr>
        <w:t xml:space="preserve"> дошкольных групп: 2 группы в начальной школе – детский сад, </w:t>
      </w:r>
      <w:r>
        <w:rPr>
          <w:sz w:val="28"/>
        </w:rPr>
        <w:t>7</w:t>
      </w:r>
      <w:r>
        <w:rPr>
          <w:sz w:val="28"/>
        </w:rPr>
        <w:t xml:space="preserve"> групп в 3 основных школах, 4 дошкольные группы при 2 средних школах. </w:t>
      </w:r>
    </w:p>
    <w:p w14:paraId="0B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  <w:tab w:leader="none" w:pos="23364" w:val="left"/>
          <w:tab w:leader="none" w:pos="24072" w:val="left"/>
          <w:tab w:leader="none" w:pos="24780" w:val="left"/>
          <w:tab w:leader="none" w:pos="25488" w:val="left"/>
          <w:tab w:leader="none" w:pos="26196" w:val="left"/>
          <w:tab w:leader="none" w:pos="26904" w:val="left"/>
          <w:tab w:leader="none" w:pos="27612" w:val="left"/>
          <w:tab w:leader="none" w:pos="2832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Дошкольным образованием по состоянию на 31.12.20</w:t>
      </w:r>
      <w:bookmarkStart w:id="1" w:name="_GoBack"/>
      <w:bookmarkEnd w:id="1"/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года охвачено </w:t>
      </w:r>
      <w:r>
        <w:rPr>
          <w:sz w:val="28"/>
        </w:rPr>
        <w:t>598</w:t>
      </w:r>
      <w:r>
        <w:rPr>
          <w:sz w:val="28"/>
        </w:rPr>
        <w:t xml:space="preserve"> человек, из них в городской местности – </w:t>
      </w:r>
      <w:r>
        <w:rPr>
          <w:sz w:val="28"/>
        </w:rPr>
        <w:t>482</w:t>
      </w:r>
      <w:r>
        <w:rPr>
          <w:sz w:val="28"/>
        </w:rPr>
        <w:t xml:space="preserve"> человека, в сельской местности – 1</w:t>
      </w: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 xml:space="preserve"> человек.</w:t>
      </w:r>
    </w:p>
    <w:p w14:paraId="0C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  <w:tab w:leader="none" w:pos="23364" w:val="left"/>
          <w:tab w:leader="none" w:pos="24072" w:val="left"/>
          <w:tab w:leader="none" w:pos="24780" w:val="left"/>
          <w:tab w:leader="none" w:pos="25488" w:val="left"/>
          <w:tab w:leader="none" w:pos="26196" w:val="left"/>
          <w:tab w:leader="none" w:pos="26904" w:val="left"/>
          <w:tab w:leader="none" w:pos="27612" w:val="left"/>
          <w:tab w:leader="none" w:pos="2832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Общее образование в районе предоставляется в 10 общеобразовательных учреждениях, из них 4 средние, 4 основные, 1 начальная школа – сад, 1 коррекционная школа – интернат.</w:t>
      </w:r>
    </w:p>
    <w:p w14:paraId="0D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01.09.20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года контингент учащихся в школах района составил 15</w:t>
      </w:r>
      <w:r>
        <w:rPr>
          <w:color w:val="000000"/>
          <w:sz w:val="28"/>
        </w:rPr>
        <w:t xml:space="preserve">18 </w:t>
      </w:r>
      <w:r>
        <w:rPr>
          <w:color w:val="000000"/>
          <w:sz w:val="28"/>
        </w:rPr>
        <w:t>детей, из них в школах города 118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человек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, в сельских школах – 3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4 человека. Сегодня основное место в образовательном пространстве Белозерского муниципального района занимает сельская школа. В сельской местности расположено 7 школ, что составляет 70 % от общего количества общеобразовательных учреждений, в которых обучаются 2</w:t>
      </w:r>
      <w:r>
        <w:rPr>
          <w:color w:val="000000"/>
          <w:sz w:val="28"/>
        </w:rPr>
        <w:t>2,0</w:t>
      </w:r>
      <w:r>
        <w:rPr>
          <w:color w:val="000000"/>
          <w:sz w:val="28"/>
        </w:rPr>
        <w:t xml:space="preserve"> % учащихся от общего контингента школьников. В городских образовательных учреждениях, составляющих 30 % общего количества школ, обучаются 7</w:t>
      </w:r>
      <w:r>
        <w:rPr>
          <w:color w:val="000000"/>
          <w:sz w:val="28"/>
        </w:rPr>
        <w:t>8,0</w:t>
      </w:r>
      <w:r>
        <w:rPr>
          <w:color w:val="000000"/>
          <w:sz w:val="28"/>
        </w:rPr>
        <w:t xml:space="preserve"> % учащихся от общего количества.</w:t>
      </w:r>
    </w:p>
    <w:p w14:paraId="0E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Модернизация сети муниципальных образовательных учреждений района - приоритетная задача развития образования.</w:t>
      </w:r>
    </w:p>
    <w:p w14:paraId="0F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последние три года реализованы плановые мероприятия по созданию в образовательных учреждениях района современной комфортной развивающей среды, оптимальных и безопасных условий пребывания обучающихся и воспитанников в муниципальных образовательных учреждениях. В учреждениях проведены текущие ремонты, предприняты меры по созданию безопасных условий и укреплению материально технической базы учреждений. </w:t>
      </w:r>
    </w:p>
    <w:p w14:paraId="10000000">
      <w:pPr>
        <w:ind w:firstLine="708" w:left="0"/>
        <w:jc w:val="both"/>
        <w:rPr>
          <w:sz w:val="28"/>
        </w:rPr>
      </w:pPr>
      <w:r>
        <w:rPr>
          <w:sz w:val="28"/>
        </w:rPr>
        <w:t>В рамках подготовки образовательных учреждений к новому 202</w:t>
      </w:r>
      <w:r>
        <w:rPr>
          <w:sz w:val="28"/>
        </w:rPr>
        <w:t>1</w:t>
      </w:r>
      <w:r>
        <w:rPr>
          <w:sz w:val="28"/>
        </w:rPr>
        <w:t xml:space="preserve"> – 202</w:t>
      </w:r>
      <w:r>
        <w:rPr>
          <w:sz w:val="28"/>
        </w:rPr>
        <w:t>2</w:t>
      </w:r>
      <w:r>
        <w:rPr>
          <w:sz w:val="28"/>
        </w:rPr>
        <w:t xml:space="preserve"> учебному году в образовательных учреждениях района проведены следующие ремонтные работы: </w:t>
      </w:r>
      <w:r>
        <w:rPr>
          <w:sz w:val="28"/>
        </w:rPr>
        <w:t xml:space="preserve">в МОУ «Шольская СШ» и МДОУ «Детский сад №7 «Ленок» </w:t>
      </w:r>
      <w:r>
        <w:rPr>
          <w:sz w:val="28"/>
        </w:rPr>
        <w:t xml:space="preserve">отремонтированы дошкольные группы; в </w:t>
      </w:r>
      <w:r>
        <w:rPr>
          <w:sz w:val="28"/>
        </w:rPr>
        <w:t>МОУ «Антушевская СШ»</w:t>
      </w:r>
      <w:r>
        <w:rPr>
          <w:sz w:val="28"/>
        </w:rPr>
        <w:t xml:space="preserve"> и </w:t>
      </w:r>
      <w:r>
        <w:rPr>
          <w:sz w:val="28"/>
        </w:rPr>
        <w:t xml:space="preserve">МДОУ «Детский сад №7 «Ленок» </w:t>
      </w:r>
      <w:r>
        <w:rPr>
          <w:sz w:val="28"/>
        </w:rPr>
        <w:t>заменена часть окон;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МОУ СШ №2 им. С.С.</w:t>
      </w:r>
      <w:r>
        <w:rPr>
          <w:sz w:val="28"/>
        </w:rPr>
        <w:t xml:space="preserve"> </w:t>
      </w:r>
      <w:r>
        <w:rPr>
          <w:sz w:val="28"/>
        </w:rPr>
        <w:t xml:space="preserve">Орлова </w:t>
      </w:r>
      <w:r>
        <w:rPr>
          <w:sz w:val="28"/>
        </w:rPr>
        <w:t xml:space="preserve"> осуществлён ремонт пищеблока, в МДОУ «Детский сад №2 «Кораблик» проведён ремонт подвала, в МОУ «Гулинская ОШ» выполнены сантехнические работы и ремонт системы водоснабжения и водоотведения; в МОУ «Маэковская школа - сад» проведены сантехнические работы. В МОУ Белозерская СШ № 1 приобретено технологическое, медицинское и спортивное оборудование.   </w:t>
      </w:r>
      <w:r>
        <w:rPr>
          <w:sz w:val="28"/>
        </w:rPr>
        <w:t xml:space="preserve">Общая сумма финансирования составила </w:t>
      </w:r>
      <w:r>
        <w:rPr>
          <w:sz w:val="28"/>
        </w:rPr>
        <w:t>1 809,7</w:t>
      </w:r>
      <w:r>
        <w:rPr>
          <w:sz w:val="28"/>
        </w:rPr>
        <w:t xml:space="preserve"> тыс. руб.</w:t>
      </w:r>
      <w:r>
        <w:rPr>
          <w:sz w:val="28"/>
        </w:rPr>
        <w:t xml:space="preserve"> </w:t>
      </w:r>
      <w:r>
        <w:rPr>
          <w:sz w:val="28"/>
        </w:rPr>
        <w:t>средств районного бюджета</w:t>
      </w:r>
      <w:r>
        <w:rPr>
          <w:sz w:val="28"/>
        </w:rPr>
        <w:t>.</w:t>
      </w:r>
    </w:p>
    <w:p w14:paraId="11000000">
      <w:pPr>
        <w:pStyle w:val="Style_1"/>
      </w:pPr>
      <w:r>
        <w:rPr>
          <w:rStyle w:val="Style_2_ch"/>
          <w:color w:val="000000"/>
          <w:sz w:val="28"/>
        </w:rPr>
        <w:t xml:space="preserve">Тем не менее, как и в предыдущие годы </w:t>
      </w:r>
      <w:r>
        <w:t>особого внимания требует решение вопроса по совершенствованию материально – технического обеспечения, созданию безопасных условий, отвечающих современным требованиям. На сегодняшний день одной из главных проблем отрасли образования остаётся слабая материальная база. Темпы старения и износа зданий существенно опережают темпы реконструкции и строительства новых объектов. Указанные факторы негативно в</w:t>
      </w:r>
      <w:r>
        <w:t>лияют на образовательный процесс, качество образования.</w:t>
      </w:r>
    </w:p>
    <w:p w14:paraId="12000000">
      <w:pPr>
        <w:pStyle w:val="Style_1"/>
      </w:pPr>
      <w:r>
        <w:t>Так в ряде учреждений необходимо провести ремонт кровли, полов, системы электропроводки, отопления, водоснабжения и водоотведения, замену окон. В дошкольных учреждениях необходимо создать условия для медицинского обеспечения воспитанников. Внедрение ФГОС требует обновление материально-технического оснащения образовательных учреждений. Требуется замена технологического оборудования, пополнение спортивного оборудования, оснащение современным оборудованием школьных спортзалов, спортивных площадок, обустройства территории детских садов.</w:t>
      </w:r>
    </w:p>
    <w:p w14:paraId="1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Результаты анализа состояния муниципальной системы образования свидетельствуют о том, что образовательная система, демонстрируя внешнюю целостность, сохраняет внутри себя следующие проблемы и противоречия: </w:t>
      </w:r>
    </w:p>
    <w:p w14:paraId="14000000">
      <w:pPr>
        <w:pStyle w:val="Style_3"/>
        <w:tabs>
          <w:tab w:leader="none" w:pos="1316" w:val="left"/>
        </w:tabs>
        <w:spacing w:after="0" w:before="0" w:line="322" w:lineRule="exact"/>
        <w:ind w:firstLine="0" w:left="20" w:right="20"/>
        <w:jc w:val="both"/>
        <w:rPr>
          <w:sz w:val="28"/>
        </w:rPr>
      </w:pPr>
      <w:r>
        <w:rPr>
          <w:sz w:val="28"/>
        </w:rPr>
        <w:t>- необходимость укрепления материально-технической базы образовательных организаций (темпы пополнения фондов не соответствуют темпам их износа);</w:t>
      </w:r>
    </w:p>
    <w:p w14:paraId="15000000">
      <w:pPr>
        <w:pStyle w:val="Style_3"/>
        <w:tabs>
          <w:tab w:leader="none" w:pos="999" w:val="left"/>
        </w:tabs>
        <w:spacing w:after="0" w:before="0" w:line="322" w:lineRule="exact"/>
        <w:ind w:firstLine="0" w:left="20" w:right="20"/>
        <w:jc w:val="both"/>
        <w:rPr>
          <w:sz w:val="28"/>
        </w:rPr>
      </w:pPr>
      <w:r>
        <w:rPr>
          <w:sz w:val="28"/>
        </w:rPr>
        <w:t>- изношенность функциональных возможностей зданий и сооруже</w:t>
      </w:r>
      <w:r>
        <w:rPr>
          <w:sz w:val="28"/>
        </w:rPr>
        <w:t>ний образовательных организаций.</w:t>
      </w:r>
      <w:r>
        <w:rPr>
          <w:sz w:val="28"/>
        </w:rPr>
        <w:t xml:space="preserve"> </w:t>
      </w:r>
    </w:p>
    <w:p w14:paraId="16000000">
      <w:pPr>
        <w:widowControl w:val="0"/>
        <w:tabs>
          <w:tab w:leader="none" w:pos="7285" w:val="center"/>
        </w:tabs>
        <w:ind/>
        <w:jc w:val="center"/>
        <w:rPr>
          <w:b w:val="1"/>
          <w:i w:val="1"/>
          <w:sz w:val="28"/>
        </w:rPr>
      </w:pPr>
    </w:p>
    <w:p w14:paraId="17000000">
      <w:pPr>
        <w:widowControl w:val="0"/>
        <w:tabs>
          <w:tab w:leader="none" w:pos="7285" w:val="center"/>
        </w:tabs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Сведения о достижении значений показателей (индикаторов)</w:t>
      </w:r>
    </w:p>
    <w:tbl>
      <w:tblPr>
        <w:tblStyle w:val="Style_4"/>
        <w:tblInd w:type="dxa" w:w="-57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709"/>
        <w:gridCol w:w="2552"/>
        <w:gridCol w:w="992"/>
        <w:gridCol w:w="1134"/>
        <w:gridCol w:w="1134"/>
        <w:gridCol w:w="1134"/>
        <w:gridCol w:w="2268"/>
      </w:tblGrid>
      <w:t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widowControl w:val="0"/>
              <w:ind/>
              <w:jc w:val="center"/>
            </w:pPr>
            <w:r>
              <w:t>N</w:t>
            </w:r>
          </w:p>
          <w:p w14:paraId="19000000">
            <w:pPr>
              <w:widowControl w:val="0"/>
              <w:ind/>
              <w:jc w:val="center"/>
            </w:pPr>
            <w:r>
              <w:t>п/п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widowControl w:val="0"/>
              <w:ind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widowControl w:val="0"/>
              <w:ind/>
              <w:jc w:val="center"/>
            </w:pPr>
            <w:r>
              <w:t>Ед. измерения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ind/>
              <w:jc w:val="center"/>
            </w:pPr>
            <w: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widowControl w:val="0"/>
              <w:ind/>
              <w:jc w:val="center"/>
            </w:pPr>
            <w: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widowControl w:val="0"/>
              <w:ind/>
              <w:jc w:val="center"/>
            </w:pPr>
            <w:r>
              <w:t>год, предшествующий отчетному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widowControl w:val="0"/>
              <w:ind/>
              <w:jc w:val="center"/>
            </w:pPr>
            <w:r>
              <w:t>отчетный год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widowControl w:val="0"/>
              <w:ind/>
              <w:jc w:val="center"/>
            </w:pPr>
            <w:r>
              <w:t>план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widowControl w:val="0"/>
              <w:ind/>
              <w:jc w:val="center"/>
            </w:pPr>
            <w:r>
              <w:t>факт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92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«Содействие созданию в Белозерском муниципальном районе (исходя из прогнозируемой потребности) новых мест в общеобразовательных организациях»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20</w:t>
            </w: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- 202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</w:rPr>
              <w:t xml:space="preserve"> за 202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</w:rPr>
              <w:t xml:space="preserve">утвержденная постановлением администрации района от </w:t>
            </w:r>
            <w:r>
              <w:rPr>
                <w:rFonts w:ascii="Times New Roman" w:hAnsi="Times New Roman"/>
                <w:sz w:val="24"/>
              </w:rPr>
              <w:t>07.12.2015</w:t>
            </w:r>
            <w:r>
              <w:rPr>
                <w:rFonts w:ascii="Times New Roman" w:hAnsi="Times New Roman"/>
                <w:sz w:val="24"/>
              </w:rPr>
              <w:t xml:space="preserve">  №  </w:t>
            </w:r>
            <w:r>
              <w:rPr>
                <w:rFonts w:ascii="Times New Roman" w:hAnsi="Times New Roman"/>
                <w:sz w:val="24"/>
              </w:rPr>
              <w:t>935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Число новых мест в общеобразовательных организациях субъектов Российской Федерации - 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widowControl w:val="0"/>
              <w:ind/>
              <w:jc w:val="center"/>
            </w:pPr>
            <w:r>
              <w:t>единиц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widowControl w:val="0"/>
              <w:ind/>
              <w:jc w:val="center"/>
            </w:pPr>
            <w:r>
              <w:t>55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widowControl w:val="0"/>
              <w:ind/>
              <w:jc w:val="both"/>
            </w:pPr>
            <w:r>
              <w:t>Отсутствие финансирования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введенных путем строительства объектов инфраструктуры общего образования в рамках софинансирования за счет средств федерального бюджета мероприятий, реализуемых в субъектах Российской Федерации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ind/>
              <w:jc w:val="center"/>
            </w:pPr>
            <w:r>
              <w:t>единиц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widowControl w:val="0"/>
              <w:ind/>
            </w:pPr>
            <w:r>
              <w:t xml:space="preserve">      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widowControl w:val="0"/>
              <w:ind/>
            </w:pPr>
            <w:r>
              <w:t xml:space="preserve">    55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widowControl w:val="0"/>
              <w:ind/>
            </w:pPr>
            <w:r>
              <w:t xml:space="preserve">      </w:t>
            </w:r>
            <w: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widowControl w:val="0"/>
              <w:ind/>
            </w:pPr>
            <w:r>
              <w:t>Отсутствие финансирования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Удельный вес численности обучающихся, занимающихся в одну смену, в общей численности обучающихся в общеобразовательных организациях - 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14:paraId="3F000000">
            <w:pPr>
              <w:widowControl w:val="0"/>
              <w:ind/>
              <w:rPr>
                <w:color w:val="000000"/>
              </w:rPr>
            </w:pPr>
          </w:p>
          <w:p w14:paraId="40000000">
            <w:pPr>
              <w:widowControl w:val="0"/>
              <w:ind/>
              <w:rPr>
                <w:color w:val="000000"/>
              </w:rPr>
            </w:pPr>
          </w:p>
          <w:p w14:paraId="41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widowControl w:val="0"/>
              <w:ind/>
              <w:rPr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5"/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widowControl w:val="0"/>
              <w:ind/>
              <w:jc w:val="center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/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5"/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обучающихся по образовательным программам начального общего образования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widowControl w:val="0"/>
              <w:ind/>
              <w:rPr>
                <w:color w:val="00000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5"/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обучающихся по образовательным программам основного общего образования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widowControl w:val="0"/>
              <w:ind/>
              <w:rPr>
                <w:color w:val="00000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5"/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обучающихся по образовательным программам среднего общего образования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widowControl w:val="0"/>
              <w:ind/>
            </w:pPr>
            <w:r>
              <w:t xml:space="preserve">    </w:t>
            </w:r>
            <w:r>
              <w:t>100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widowControl w:val="0"/>
              <w:ind/>
            </w:pPr>
          </w:p>
        </w:tc>
      </w:tr>
    </w:tbl>
    <w:p w14:paraId="5F000000">
      <w:pPr>
        <w:widowControl w:val="0"/>
        <w:ind/>
        <w:jc w:val="center"/>
      </w:pPr>
    </w:p>
    <w:p w14:paraId="60000000">
      <w:pPr>
        <w:widowControl w:val="0"/>
        <w:ind/>
        <w:jc w:val="center"/>
      </w:pPr>
    </w:p>
    <w:p w14:paraId="61000000">
      <w:pPr>
        <w:widowControl w:val="0"/>
        <w:ind/>
        <w:jc w:val="center"/>
      </w:pPr>
      <w:r>
        <w:t>Отчет об использовании бюджетных</w:t>
      </w:r>
    </w:p>
    <w:p w14:paraId="62000000">
      <w:pPr>
        <w:widowControl w:val="0"/>
        <w:ind/>
        <w:jc w:val="center"/>
      </w:pPr>
      <w:r>
        <w:t>ассигнований районного  бюджета</w:t>
      </w:r>
    </w:p>
    <w:p w14:paraId="63000000">
      <w:pPr>
        <w:widowControl w:val="0"/>
        <w:ind/>
        <w:jc w:val="center"/>
      </w:pPr>
      <w:r>
        <w:t>на реализацию муниципальной программы (тыс. руб.)</w:t>
      </w:r>
    </w:p>
    <w:p w14:paraId="64000000">
      <w:pPr>
        <w:widowControl w:val="0"/>
        <w:ind/>
        <w:jc w:val="both"/>
      </w:pPr>
    </w:p>
    <w:tbl>
      <w:tblPr>
        <w:tblStyle w:val="Style_4"/>
        <w:tblInd w:type="dxa" w:w="-57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1701"/>
        <w:gridCol w:w="2268"/>
        <w:gridCol w:w="2268"/>
        <w:gridCol w:w="1276"/>
        <w:gridCol w:w="1276"/>
        <w:gridCol w:w="1134"/>
      </w:tblGrid>
      <w:t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widowControl w:val="0"/>
              <w:ind/>
              <w:jc w:val="center"/>
            </w:pPr>
            <w:r>
              <w:t>Статус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ind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ind/>
              <w:jc w:val="center"/>
            </w:pPr>
            <w:r>
              <w:t>Ответственный исполнитель, соисполнители, заказчик-координатор</w:t>
            </w:r>
          </w:p>
        </w:tc>
        <w:tc>
          <w:tcPr>
            <w:tcW w:type="dxa" w:w="36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widowControl w:val="0"/>
              <w:ind/>
              <w:jc w:val="center"/>
            </w:pPr>
            <w:r>
              <w:t>Расходы (тыс. руб.), годы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ind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widowControl w:val="0"/>
              <w:ind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widowControl w:val="0"/>
              <w:ind/>
              <w:jc w:val="center"/>
            </w:pPr>
            <w:r>
              <w:t>кассовое исполнение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widowControl w:val="0"/>
              <w:ind/>
              <w:jc w:val="center"/>
            </w:pPr>
            <w:r>
              <w:t>6</w:t>
            </w:r>
          </w:p>
        </w:tc>
      </w:tr>
      <w:tr>
        <w:trPr>
          <w:trHeight w:hRule="atLeast" w:val="3194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widowControl w:val="0"/>
              <w:ind/>
            </w:pPr>
            <w:r>
              <w:t>Муниципальная программа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widowControl w:val="0"/>
              <w:ind/>
            </w:pPr>
            <w:r>
              <w:t xml:space="preserve"> </w:t>
            </w:r>
            <w:r>
              <w:t>«Содействие созданию в Белозерском муниципальном районе (исходя из прогнозируемой потребности) новых мест в общеобразовательных организациях» на 2016 - 202</w:t>
            </w:r>
            <w:r>
              <w:t>5</w:t>
            </w:r>
            <w:r>
              <w:t xml:space="preserve"> годы</w:t>
            </w:r>
            <w:r>
              <w:t xml:space="preserve"> </w:t>
            </w:r>
          </w:p>
          <w:p w14:paraId="74000000">
            <w:pPr>
              <w:rPr>
                <w:color w:val="FF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ind/>
              <w:jc w:val="both"/>
            </w:pPr>
            <w:r>
              <w:t>Ответственный исполнитель - у</w:t>
            </w:r>
            <w:r>
              <w:t>правление образования Бел</w:t>
            </w:r>
            <w:r>
              <w:t>озерского муниципального района;</w:t>
            </w:r>
          </w:p>
          <w:p w14:paraId="76000000">
            <w:pPr>
              <w:ind/>
              <w:jc w:val="both"/>
            </w:pPr>
            <w:r>
              <w:t>Участники:</w:t>
            </w:r>
          </w:p>
          <w:p w14:paraId="77000000">
            <w:pPr>
              <w:ind/>
              <w:jc w:val="both"/>
            </w:pPr>
            <w:r>
              <w:t xml:space="preserve"> -</w:t>
            </w:r>
            <w:r>
              <w:t xml:space="preserve"> </w:t>
            </w:r>
            <w:r>
              <w:t>Администрация Белозерского муниципального района</w:t>
            </w:r>
            <w:r>
              <w:t>; у</w:t>
            </w:r>
            <w:r>
              <w:t>правление образования Бел</w:t>
            </w:r>
            <w:r>
              <w:t>озерского муниципального района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widowControl w:val="0"/>
              <w:ind/>
              <w:jc w:val="center"/>
            </w:pPr>
            <w:r>
              <w:t>0,0</w:t>
            </w:r>
          </w:p>
        </w:tc>
      </w:tr>
    </w:tbl>
    <w:p w14:paraId="7B000000">
      <w:pPr>
        <w:widowControl w:val="0"/>
        <w:ind/>
      </w:pPr>
    </w:p>
    <w:p w14:paraId="7C000000">
      <w:pPr>
        <w:ind/>
        <w:jc w:val="center"/>
        <w:rPr>
          <w:sz w:val="28"/>
        </w:rPr>
      </w:pPr>
      <w:r>
        <w:rPr>
          <w:sz w:val="28"/>
        </w:rPr>
        <w:t>Информация о расходах федерального и областного</w:t>
      </w:r>
    </w:p>
    <w:p w14:paraId="7D000000">
      <w:pPr>
        <w:widowControl w:val="0"/>
        <w:ind/>
        <w:jc w:val="center"/>
        <w:rPr>
          <w:sz w:val="28"/>
        </w:rPr>
      </w:pPr>
      <w:r>
        <w:rPr>
          <w:sz w:val="28"/>
        </w:rPr>
        <w:t>бюджетов, бюджетов муниципальных образований</w:t>
      </w:r>
    </w:p>
    <w:p w14:paraId="7E000000">
      <w:pPr>
        <w:widowControl w:val="0"/>
        <w:ind/>
        <w:jc w:val="center"/>
        <w:rPr>
          <w:sz w:val="28"/>
        </w:rPr>
      </w:pPr>
      <w:r>
        <w:rPr>
          <w:sz w:val="28"/>
        </w:rPr>
        <w:t>района, бюджетов государственных внебюджетных</w:t>
      </w:r>
    </w:p>
    <w:p w14:paraId="7F000000">
      <w:pPr>
        <w:widowControl w:val="0"/>
        <w:ind/>
        <w:jc w:val="center"/>
        <w:rPr>
          <w:sz w:val="28"/>
        </w:rPr>
      </w:pPr>
      <w:r>
        <w:rPr>
          <w:sz w:val="28"/>
        </w:rPr>
        <w:t>фондов, юридических лиц на реализацию целей</w:t>
      </w:r>
    </w:p>
    <w:p w14:paraId="80000000">
      <w:pPr>
        <w:widowControl w:val="0"/>
        <w:ind/>
        <w:jc w:val="center"/>
        <w:rPr>
          <w:sz w:val="28"/>
        </w:rPr>
      </w:pPr>
      <w:r>
        <w:rPr>
          <w:sz w:val="28"/>
        </w:rPr>
        <w:t>муниципальной программы района (тыс. руб.)</w:t>
      </w:r>
    </w:p>
    <w:p w14:paraId="81000000">
      <w:pPr>
        <w:widowControl w:val="0"/>
        <w:ind/>
        <w:jc w:val="both"/>
        <w:rPr>
          <w:sz w:val="28"/>
        </w:rPr>
      </w:pPr>
    </w:p>
    <w:tbl>
      <w:tblPr>
        <w:tblStyle w:val="Style_4"/>
        <w:tblInd w:type="dxa" w:w="-57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1560"/>
        <w:gridCol w:w="2201"/>
        <w:gridCol w:w="2551"/>
        <w:gridCol w:w="1701"/>
        <w:gridCol w:w="1701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widowControl w:val="0"/>
              <w:ind/>
              <w:jc w:val="center"/>
            </w:pPr>
            <w:r>
              <w:t>Статус</w:t>
            </w:r>
          </w:p>
        </w:tc>
        <w:tc>
          <w:tcPr>
            <w:tcW w:type="dxa" w:w="2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widowControl w:val="0"/>
              <w:ind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widowControl w:val="0"/>
              <w:ind/>
              <w:jc w:val="center"/>
            </w:pPr>
            <w:r>
              <w:t>Источники ресурсного обеспечения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widowControl w:val="0"/>
              <w:ind/>
              <w:jc w:val="center"/>
            </w:pPr>
            <w:r>
              <w:t xml:space="preserve">Оценка расходов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widowControl w:val="0"/>
              <w:ind/>
              <w:jc w:val="center"/>
            </w:pPr>
            <w:r>
              <w:t>Фактические расходы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widowControl w:val="0"/>
              <w:ind/>
            </w:pPr>
            <w:r>
              <w:t>Муниципальная программа</w:t>
            </w:r>
          </w:p>
        </w:tc>
        <w:tc>
          <w:tcPr>
            <w:tcW w:type="dxa" w:w="22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widowControl w:val="0"/>
              <w:ind/>
            </w:pPr>
            <w:r>
              <w:t>«Содействие созданию в Белозерском муниципальном районе (исходя из прогнозируемой потребности) новых мест в общеобразовательных организациях» на 2016 - 202</w:t>
            </w:r>
            <w:r>
              <w:t>5</w:t>
            </w:r>
            <w:r>
              <w:t xml:space="preserve"> годы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widowControl w:val="0"/>
              <w:ind/>
            </w:pPr>
            <w: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widowControl w:val="0"/>
              <w:ind/>
            </w:pPr>
            <w:r>
              <w:t>районный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widowControl w:val="0"/>
              <w:ind/>
            </w:pPr>
            <w:r>
              <w:t>федеральный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widowControl w:val="0"/>
              <w:ind/>
            </w:pPr>
            <w:r>
              <w:t>областной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widowControl w:val="0"/>
              <w:ind/>
            </w:pPr>
            <w:r>
              <w:t>бюджеты муниципальных образований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widowControl w:val="0"/>
              <w:ind/>
              <w:jc w:val="center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widowControl w:val="0"/>
              <w:ind/>
            </w:pPr>
            <w:r>
              <w:t>государственные внебюджетные фонды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widowControl w:val="0"/>
              <w:ind/>
            </w:pP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widowControl w:val="0"/>
              <w:ind/>
            </w:pPr>
            <w:r>
              <w:t>юридические лица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widowControl w:val="0"/>
              <w:ind/>
            </w:pPr>
          </w:p>
        </w:tc>
      </w:tr>
    </w:tbl>
    <w:p w14:paraId="A3000000">
      <w:pPr>
        <w:ind/>
        <w:jc w:val="center"/>
        <w:rPr>
          <w:sz w:val="22"/>
        </w:rPr>
      </w:pPr>
      <w:r>
        <w:rPr>
          <w:sz w:val="28"/>
        </w:rPr>
        <w:t>Начальник управления образования: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>Н.А. Воеводина</w:t>
      </w:r>
    </w:p>
    <w:p w14:paraId="A4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A5000000">
      <w:pPr>
        <w:rPr>
          <w:sz w:val="28"/>
        </w:rPr>
      </w:pPr>
    </w:p>
    <w:p w14:paraId="A6000000">
      <w:pPr>
        <w:rPr>
          <w:sz w:val="22"/>
        </w:rPr>
      </w:pPr>
    </w:p>
    <w:p w14:paraId="A7000000">
      <w:pPr>
        <w:rPr>
          <w:sz w:val="22"/>
        </w:rPr>
      </w:pPr>
    </w:p>
    <w:p w14:paraId="A8000000">
      <w:pPr>
        <w:ind/>
        <w:jc w:val="center"/>
        <w:rPr>
          <w:sz w:val="22"/>
        </w:rPr>
      </w:pPr>
    </w:p>
    <w:sectPr>
      <w:pgSz w:h="11906" w:orient="landscape" w:w="16838"/>
      <w:pgMar w:bottom="851" w:footer="709" w:gutter="0" w:header="709" w:left="1134" w:right="536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1" w:type="paragraph">
    <w:name w:val="Текст отчета"/>
    <w:basedOn w:val="Style_6"/>
    <w:link w:val="Style_1_ch"/>
    <w:pPr>
      <w:ind w:firstLine="708" w:left="0"/>
      <w:jc w:val="both"/>
    </w:pPr>
    <w:rPr>
      <w:sz w:val="28"/>
    </w:rPr>
  </w:style>
  <w:style w:styleId="Style_1_ch" w:type="character">
    <w:name w:val="Текст отчета"/>
    <w:basedOn w:val="Style_6_ch"/>
    <w:link w:val="Style_1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Знак Знак2"/>
    <w:link w:val="Style_12_ch"/>
  </w:style>
  <w:style w:styleId="Style_12_ch" w:type="character">
    <w:name w:val="Знак Знак2"/>
    <w:link w:val="Style_12"/>
  </w:style>
  <w:style w:styleId="Style_13" w:type="paragraph">
    <w:basedOn w:val="Style_6"/>
    <w:next w:val="Style_14"/>
    <w:link w:val="Style_13_ch"/>
    <w:semiHidden w:val="1"/>
    <w:unhideWhenUsed w:val="1"/>
    <w:pPr>
      <w:spacing w:afterAutospacing="on" w:beforeAutospacing="on"/>
      <w:ind/>
    </w:pPr>
  </w:style>
  <w:style w:styleId="Style_13_ch" w:type="character">
    <w:basedOn w:val="Style_6_ch"/>
    <w:link w:val="Style_13"/>
    <w:semiHidden w:val="1"/>
    <w:unhideWhenUsed w:val="1"/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Цветовое выделение"/>
    <w:link w:val="Style_16_ch"/>
    <w:rPr>
      <w:b w:val="1"/>
      <w:color w:val="26282F"/>
      <w:sz w:val="26"/>
    </w:rPr>
  </w:style>
  <w:style w:styleId="Style_16_ch" w:type="character">
    <w:name w:val="Цветовое выделение"/>
    <w:link w:val="Style_16"/>
    <w:rPr>
      <w:b w:val="1"/>
      <w:color w:val="26282F"/>
      <w:sz w:val="26"/>
    </w:rPr>
  </w:style>
  <w:style w:styleId="Style_17" w:type="paragraph">
    <w:name w:val="Нормальный (таблица)"/>
    <w:basedOn w:val="Style_6"/>
    <w:next w:val="Style_6"/>
    <w:link w:val="Style_17_ch"/>
    <w:pPr>
      <w:widowControl w:val="0"/>
      <w:ind/>
      <w:jc w:val="both"/>
    </w:pPr>
    <w:rPr>
      <w:rFonts w:ascii="Arial" w:hAnsi="Arial"/>
    </w:rPr>
  </w:style>
  <w:style w:styleId="Style_17_ch" w:type="character">
    <w:name w:val="Нормальный (таблица)"/>
    <w:basedOn w:val="Style_6_ch"/>
    <w:link w:val="Style_17"/>
    <w:rPr>
      <w:rFonts w:ascii="Arial" w:hAnsi="Arial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ConsPlusCell"/>
    <w:link w:val="Style_20_ch"/>
    <w:pPr>
      <w:widowControl w:val="0"/>
      <w:ind/>
    </w:pPr>
    <w:rPr>
      <w:rFonts w:ascii="Arial" w:hAnsi="Arial"/>
      <w:sz w:val="22"/>
    </w:rPr>
  </w:style>
  <w:style w:styleId="Style_20_ch" w:type="character">
    <w:name w:val="ConsPlusCell"/>
    <w:link w:val="Style_20"/>
    <w:rPr>
      <w:rFonts w:ascii="Arial" w:hAnsi="Arial"/>
      <w:sz w:val="22"/>
    </w:rPr>
  </w:style>
  <w:style w:styleId="Style_21" w:type="paragraph">
    <w:name w:val="Balloon Text"/>
    <w:basedOn w:val="Style_6"/>
    <w:link w:val="Style_21_ch"/>
    <w:rPr>
      <w:rFonts w:ascii="Segoe UI" w:hAnsi="Segoe UI"/>
      <w:sz w:val="18"/>
    </w:rPr>
  </w:style>
  <w:style w:styleId="Style_21_ch" w:type="character">
    <w:name w:val="Balloon Text"/>
    <w:basedOn w:val="Style_6_ch"/>
    <w:link w:val="Style_21"/>
    <w:rPr>
      <w:rFonts w:ascii="Segoe UI" w:hAnsi="Segoe UI"/>
      <w:sz w:val="18"/>
    </w:rPr>
  </w:style>
  <w:style w:styleId="Style_22" w:type="paragraph">
    <w:name w:val="Основной текст + 10 pt10"/>
    <w:link w:val="Style_22_ch"/>
    <w:rPr>
      <w:rFonts w:ascii="Times New Roman" w:hAnsi="Times New Roman"/>
      <w:b w:val="1"/>
      <w:color w:val="000000"/>
      <w:spacing w:val="2"/>
      <w:sz w:val="20"/>
      <w:u w:val="none"/>
    </w:rPr>
  </w:style>
  <w:style w:styleId="Style_22_ch" w:type="character">
    <w:name w:val="Основной текст + 10 pt10"/>
    <w:link w:val="Style_22"/>
    <w:rPr>
      <w:rFonts w:ascii="Times New Roman" w:hAnsi="Times New Roman"/>
      <w:b w:val="1"/>
      <w:color w:val="000000"/>
      <w:spacing w:val="2"/>
      <w:sz w:val="20"/>
      <w:u w:val="none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List Paragraph"/>
    <w:basedOn w:val="Style_6"/>
    <w:link w:val="Style_24_ch"/>
    <w:pPr>
      <w:spacing w:after="200"/>
      <w:ind w:firstLine="0" w:left="720"/>
    </w:pPr>
    <w:rPr>
      <w:sz w:val="28"/>
    </w:rPr>
  </w:style>
  <w:style w:styleId="Style_24_ch" w:type="character">
    <w:name w:val="List Paragraph"/>
    <w:basedOn w:val="Style_6_ch"/>
    <w:link w:val="Style_24"/>
    <w:rPr>
      <w:sz w:val="28"/>
    </w:rPr>
  </w:style>
  <w:style w:styleId="Style_25" w:type="paragraph">
    <w:name w:val="heading 1"/>
    <w:next w:val="Style_6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14" w:type="paragraph">
    <w:name w:val="Normal (Web)"/>
    <w:basedOn w:val="Style_6"/>
    <w:link w:val="Style_14_ch"/>
    <w:pPr>
      <w:spacing w:afterAutospacing="on" w:beforeAutospacing="on"/>
      <w:ind/>
    </w:pPr>
  </w:style>
  <w:style w:styleId="Style_14_ch" w:type="character">
    <w:name w:val="Normal (Web)"/>
    <w:basedOn w:val="Style_6_ch"/>
    <w:link w:val="Style_14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6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Основной текст + 10 pt11"/>
    <w:link w:val="Style_30_ch"/>
    <w:rPr>
      <w:rFonts w:ascii="Times New Roman" w:hAnsi="Times New Roman"/>
      <w:color w:val="000000"/>
      <w:spacing w:val="1"/>
      <w:sz w:val="20"/>
      <w:u w:val="none"/>
    </w:rPr>
  </w:style>
  <w:style w:styleId="Style_30_ch" w:type="character">
    <w:name w:val="Основной текст + 10 pt11"/>
    <w:link w:val="Style_30"/>
    <w:rPr>
      <w:rFonts w:ascii="Times New Roman" w:hAnsi="Times New Roman"/>
      <w:color w:val="000000"/>
      <w:spacing w:val="1"/>
      <w:sz w:val="20"/>
      <w:u w:val="none"/>
    </w:rPr>
  </w:style>
  <w:style w:styleId="Style_5" w:type="paragraph">
    <w:name w:val="ConsPlusNorma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3" w:type="paragraph">
    <w:name w:val="Основной текст4"/>
    <w:basedOn w:val="Style_6"/>
    <w:link w:val="Style_3_ch"/>
    <w:pPr>
      <w:widowControl w:val="0"/>
      <w:spacing w:after="120" w:before="120" w:line="442" w:lineRule="exact"/>
      <w:ind/>
      <w:jc w:val="center"/>
    </w:pPr>
    <w:rPr>
      <w:color w:val="000000"/>
      <w:sz w:val="26"/>
    </w:rPr>
  </w:style>
  <w:style w:styleId="Style_3_ch" w:type="character">
    <w:name w:val="Основной текст4"/>
    <w:basedOn w:val="Style_6_ch"/>
    <w:link w:val="Style_3"/>
    <w:rPr>
      <w:color w:val="000000"/>
      <w:sz w:val="26"/>
    </w:rPr>
  </w:style>
  <w:style w:styleId="Style_31" w:type="paragraph">
    <w:name w:val="toc 9"/>
    <w:next w:val="Style_6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2" w:type="paragraph">
    <w:name w:val="Замещаемый текст"/>
    <w:basedOn w:val="Style_32"/>
    <w:link w:val="Style_2_ch"/>
    <w:pPr>
      <w:ind w:firstLine="709" w:left="0"/>
      <w:jc w:val="both"/>
    </w:pPr>
    <w:rPr>
      <w:color w:val="A6A6A6"/>
      <w:sz w:val="20"/>
    </w:rPr>
  </w:style>
  <w:style w:styleId="Style_2_ch" w:type="character">
    <w:name w:val="Замещаемый текст"/>
    <w:basedOn w:val="Style_32_ch"/>
    <w:link w:val="Style_2"/>
    <w:rPr>
      <w:color w:val="A6A6A6"/>
      <w:sz w:val="20"/>
    </w:rPr>
  </w:style>
  <w:style w:styleId="Style_33" w:type="paragraph">
    <w:name w:val="toc 8"/>
    <w:next w:val="Style_6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Body Text 2"/>
    <w:basedOn w:val="Style_6"/>
    <w:link w:val="Style_34_ch"/>
    <w:pPr>
      <w:spacing w:after="120" w:line="480" w:lineRule="auto"/>
      <w:ind/>
    </w:pPr>
  </w:style>
  <w:style w:styleId="Style_34_ch" w:type="character">
    <w:name w:val="Body Text 2"/>
    <w:basedOn w:val="Style_6_ch"/>
    <w:link w:val="Style_34"/>
  </w:style>
  <w:style w:styleId="Style_35" w:type="paragraph">
    <w:name w:val="Абзац списка1"/>
    <w:basedOn w:val="Style_6"/>
    <w:link w:val="Style_35_ch"/>
    <w:pPr>
      <w:spacing w:after="200"/>
      <w:ind w:firstLine="0" w:left="720"/>
    </w:pPr>
    <w:rPr>
      <w:sz w:val="28"/>
    </w:rPr>
  </w:style>
  <w:style w:styleId="Style_35_ch" w:type="character">
    <w:name w:val="Абзац списка1"/>
    <w:basedOn w:val="Style_6_ch"/>
    <w:link w:val="Style_35"/>
    <w:rPr>
      <w:sz w:val="28"/>
    </w:rPr>
  </w:style>
  <w:style w:styleId="Style_36" w:type="paragraph">
    <w:name w:val="toc 5"/>
    <w:next w:val="Style_6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Body Text Indent"/>
    <w:basedOn w:val="Style_6"/>
    <w:link w:val="Style_37_ch"/>
    <w:pPr>
      <w:spacing w:after="120"/>
      <w:ind w:firstLine="0" w:left="283"/>
    </w:pPr>
  </w:style>
  <w:style w:styleId="Style_37_ch" w:type="character">
    <w:name w:val="Body Text Indent"/>
    <w:basedOn w:val="Style_6_ch"/>
    <w:link w:val="Style_37"/>
  </w:style>
  <w:style w:styleId="Style_38" w:type="paragraph">
    <w:name w:val="Subtitle"/>
    <w:next w:val="Style_6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6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32" w:type="paragraph">
    <w:name w:val="No Spacing"/>
    <w:link w:val="Style_32_ch"/>
    <w:rPr>
      <w:rFonts w:ascii="Times New Roman" w:hAnsi="Times New Roman"/>
      <w:sz w:val="24"/>
    </w:rPr>
  </w:style>
  <w:style w:styleId="Style_32_ch" w:type="character">
    <w:name w:val="No Spacing"/>
    <w:link w:val="Style_32"/>
    <w:rPr>
      <w:rFonts w:ascii="Times New Roman" w:hAnsi="Times New Roman"/>
      <w:sz w:val="24"/>
    </w:rPr>
  </w:style>
  <w:style w:styleId="Style_40" w:type="paragraph">
    <w:name w:val="heading 4"/>
    <w:next w:val="Style_6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Содержимое таблицы"/>
    <w:basedOn w:val="Style_6"/>
    <w:link w:val="Style_41_ch"/>
    <w:pPr>
      <w:widowControl w:val="0"/>
      <w:ind/>
    </w:pPr>
  </w:style>
  <w:style w:styleId="Style_41_ch" w:type="character">
    <w:name w:val="Содержимое таблицы"/>
    <w:basedOn w:val="Style_6_ch"/>
    <w:link w:val="Style_41"/>
  </w:style>
  <w:style w:styleId="Style_42" w:type="paragraph">
    <w:name w:val="heading 2"/>
    <w:next w:val="Style_6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2023-04-21T09:29:45Z</dcterms:modified>
</cp:coreProperties>
</file>