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Годовой отчет о ходе реализации и оценке эффективности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муниципальную программу </w:t>
      </w:r>
      <w:r>
        <w:rPr>
          <w:rFonts w:ascii="Times New Roman" w:hAnsi="Times New Roman"/>
          <w:sz w:val="28"/>
        </w:rPr>
        <w:t xml:space="preserve">  «Поддержка социально ориентированных некоммерческих организаций в Белозерском муниципальном районе»  на 2022-2025 годы</w:t>
      </w:r>
      <w:r>
        <w:rPr>
          <w:rFonts w:ascii="Times New Roman" w:hAnsi="Times New Roman"/>
          <w:sz w:val="28"/>
        </w:rPr>
        <w:t xml:space="preserve">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</w:t>
      </w:r>
    </w:p>
    <w:p w14:paraId="04000000">
      <w:pPr>
        <w:pStyle w:val="Style_1"/>
        <w:ind/>
        <w:jc w:val="center"/>
        <w:rPr>
          <w:b w:val="1"/>
        </w:rPr>
      </w:pPr>
    </w:p>
    <w:p w14:paraId="05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утверждена  постанов</w:t>
      </w:r>
      <w:r>
        <w:rPr>
          <w:rFonts w:ascii="Times New Roman" w:hAnsi="Times New Roman"/>
          <w:sz w:val="24"/>
        </w:rPr>
        <w:t xml:space="preserve">лением администрации  района от </w:t>
      </w:r>
      <w:r>
        <w:rPr>
          <w:rFonts w:ascii="Times New Roman" w:hAnsi="Times New Roman"/>
          <w:sz w:val="24"/>
        </w:rPr>
        <w:t>16.12.2021  № 465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Цель программы: </w:t>
      </w:r>
      <w:r>
        <w:rPr>
          <w:rFonts w:ascii="Times New Roman" w:hAnsi="Times New Roman"/>
          <w:sz w:val="24"/>
        </w:rPr>
        <w:t>Поддержка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деятельности социально-ориентированных некоммерческих организаций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(далее -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HKO),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осуществляющих деятельность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на территории Белозерского муниципального района</w:t>
      </w:r>
    </w:p>
    <w:p w14:paraId="06000000">
      <w:pPr>
        <w:pStyle w:val="Style_2"/>
        <w:ind w:firstLine="54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муниципальной программы реализуются </w:t>
      </w:r>
      <w:r>
        <w:rPr>
          <w:rFonts w:ascii="Times New Roman" w:hAnsi="Times New Roman"/>
          <w:sz w:val="24"/>
        </w:rPr>
        <w:t>три</w:t>
      </w:r>
      <w:r>
        <w:rPr>
          <w:rFonts w:ascii="Times New Roman" w:hAnsi="Times New Roman"/>
          <w:sz w:val="24"/>
        </w:rPr>
        <w:t xml:space="preserve"> основных мероприятий:</w:t>
      </w:r>
    </w:p>
    <w:p w14:paraId="07000000">
      <w:pPr>
        <w:pStyle w:val="Style_2"/>
        <w:numPr>
          <w:ilvl w:val="0"/>
          <w:numId w:val="1"/>
        </w:numPr>
        <w:ind w:firstLine="6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финансовой и имущественной поддержки социально ориентированным некоммерческим организациям.</w:t>
      </w:r>
    </w:p>
    <w:p w14:paraId="08000000">
      <w:pPr>
        <w:pStyle w:val="Style_2"/>
        <w:numPr>
          <w:ilvl w:val="0"/>
          <w:numId w:val="1"/>
        </w:numPr>
        <w:ind w:firstLine="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консультационной и методической поддержки по вопросам деятельности социально ориентированных некоммерческих организаций</w:t>
      </w:r>
      <w:r>
        <w:rPr>
          <w:rFonts w:ascii="Times New Roman" w:hAnsi="Times New Roman"/>
          <w:sz w:val="24"/>
        </w:rPr>
        <w:t>.</w:t>
      </w:r>
    </w:p>
    <w:p w14:paraId="09000000">
      <w:pPr>
        <w:pStyle w:val="Style_2"/>
        <w:ind w:firstLine="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Предоставление информационной поддержки социально ориентированным некоммерческим организациям</w:t>
      </w:r>
      <w:r>
        <w:rPr>
          <w:rFonts w:ascii="Times New Roman" w:hAnsi="Times New Roman"/>
          <w:sz w:val="24"/>
        </w:rPr>
        <w:t>.</w:t>
      </w:r>
    </w:p>
    <w:p w14:paraId="0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tbl>
      <w:tblPr>
        <w:tblStyle w:val="Style_3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67"/>
        <w:gridCol w:w="4395"/>
        <w:gridCol w:w="1701"/>
        <w:gridCol w:w="141"/>
        <w:gridCol w:w="1843"/>
        <w:gridCol w:w="1985"/>
        <w:gridCol w:w="283"/>
        <w:gridCol w:w="1985"/>
        <w:gridCol w:w="2976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0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type="dxa" w:w="609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3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Поддержка социально ориентированных некоммерческих организаций в Белозерском муниципальном районе</w:t>
            </w:r>
            <w:r>
              <w:rPr>
                <w:rFonts w:ascii="Times New Roman" w:hAnsi="Times New Roman"/>
                <w:color w:val="000000"/>
                <w:sz w:val="24"/>
              </w:rPr>
              <w:t>» на 202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- 2025 годы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3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СОНКО, которым предоставлена имущественная поддержка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размещенных материалов, освящающих деятельность СОНКО в  средствах массовой информации, на официальных ресурсах района в  </w:t>
            </w:r>
            <w:r>
              <w:rPr>
                <w:rFonts w:ascii="Times New Roman" w:hAnsi="Times New Roman"/>
                <w:sz w:val="24"/>
              </w:rPr>
              <w:t>информационно – телекоммуникационной сети «Интернет»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районных массовых мероприятий, проводимых с участием </w:t>
            </w:r>
            <w:r>
              <w:rPr>
                <w:rStyle w:val="Style_5_ch"/>
                <w:sz w:val="24"/>
              </w:rPr>
              <w:t>СОНКО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СОНКО, которым оказана                          консультационная помощь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3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4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степени выполнения основных мероприятий</w:t>
      </w:r>
    </w:p>
    <w:p w14:paraId="4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</w:t>
      </w:r>
      <w:r>
        <w:rPr>
          <w:rFonts w:ascii="Times New Roman" w:hAnsi="Times New Roman"/>
          <w:sz w:val="24"/>
        </w:rPr>
        <w:t xml:space="preserve"> за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</w:p>
    <w:p w14:paraId="4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67"/>
        <w:gridCol w:w="3402"/>
        <w:gridCol w:w="2126"/>
        <w:gridCol w:w="1134"/>
        <w:gridCol w:w="850"/>
        <w:gridCol w:w="851"/>
        <w:gridCol w:w="850"/>
        <w:gridCol w:w="1843"/>
        <w:gridCol w:w="3260"/>
        <w:gridCol w:w="1276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4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</w:t>
            </w:r>
            <w:r>
              <w:rPr>
                <w:rFonts w:ascii="Times New Roman" w:hAnsi="Times New Roman"/>
                <w:sz w:val="24"/>
              </w:rPr>
              <w:t>тель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1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 &lt;6&gt;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запланированные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136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24"/>
              </w:rPr>
              <w:t>Предоставление финансовой и имущественной поддержки социально ориентированным некоммерческим организациям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344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 xml:space="preserve"> 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Логинов Д.Д., управляющий делами администрации района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осуществления уставной деятельности СОНКО, возможность реализации их проектов на территории района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</w:t>
            </w:r>
            <w:r>
              <w:rPr>
                <w:rFonts w:ascii="Times New Roman" w:hAnsi="Times New Roman"/>
                <w:sz w:val="24"/>
              </w:rPr>
              <w:t xml:space="preserve"> по итогам  конкурса по отбору социально ориентированных некоммерческих организаций для предоставления субсидии </w:t>
            </w:r>
          </w:p>
          <w:p w14:paraId="7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Белозерск</w:t>
            </w:r>
            <w:r>
              <w:rPr>
                <w:rFonts w:ascii="Times New Roman" w:hAnsi="Times New Roman"/>
                <w:sz w:val="24"/>
              </w:rPr>
              <w:t xml:space="preserve">ой </w:t>
            </w:r>
            <w:r>
              <w:rPr>
                <w:rFonts w:ascii="Times New Roman" w:hAnsi="Times New Roman"/>
                <w:sz w:val="24"/>
              </w:rPr>
              <w:t>районн</w:t>
            </w:r>
            <w:r>
              <w:rPr>
                <w:rFonts w:ascii="Times New Roman" w:hAnsi="Times New Roman"/>
                <w:sz w:val="24"/>
              </w:rPr>
              <w:t xml:space="preserve">ой </w:t>
            </w:r>
            <w:r>
              <w:rPr>
                <w:rFonts w:ascii="Times New Roman" w:hAnsi="Times New Roman"/>
                <w:sz w:val="24"/>
              </w:rPr>
              <w:t>организаци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общероссийской общественной организации «Всероссийское общество инвалидов» (ВОИ)</w:t>
            </w:r>
            <w:r>
              <w:rPr>
                <w:rFonts w:ascii="Times New Roman" w:hAnsi="Times New Roman"/>
                <w:sz w:val="24"/>
              </w:rPr>
              <w:t xml:space="preserve"> предоставлена субсидия из районного бюджета в размере 45,0 тыс. руб.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4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1.2. </w:t>
            </w:r>
            <w:r>
              <w:rPr>
                <w:rFonts w:ascii="Times New Roman" w:hAnsi="Times New Roman"/>
                <w:sz w:val="24"/>
              </w:rPr>
              <w:t>Формирование, ведение, обязательное опубликование перечня имущества района, предназначенного для передачи во владение и (или) в пользование социально ориентированным некоммерческим организациям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Данилова О.В., начальник управления имущественных отношений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помещений, находящихся в муниципальной собствен</w:t>
            </w:r>
            <w:r>
              <w:rPr>
                <w:rFonts w:ascii="Times New Roman" w:hAnsi="Times New Roman"/>
                <w:sz w:val="24"/>
              </w:rPr>
              <w:t>ности администрации Белозерского муниципального района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Белозерской районной организации общероссийской общественной организации «Всероссийское общество инвалидов» (ВОИ), Районной ветеранской организации, АНО «Былинный город»  помещение предоставлены на безвозмездной основе.</w:t>
            </w:r>
          </w:p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районе принято  решение </w:t>
            </w:r>
            <w:r>
              <w:rPr>
                <w:rFonts w:ascii="Times New Roman" w:hAnsi="Times New Roman"/>
                <w:sz w:val="24"/>
              </w:rPr>
              <w:t>Представительного Собрания Белозерского муниципального округа от 30.06.2022 № 46 «Об утверждении Положения о порядке и условиях предоставления во владение и (или) использование имущества района, включенного в перечень имущества района, предназначенного для передачи во владение и (или) пользование социально ориентированным некоммерческим организациям».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Предоставление некоммерческим организациям во владение и (или) пользование имущества района,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Данилова О.В., начальник управления имущественных отношений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помещений, находящихся в муниципальной собствен</w:t>
            </w:r>
            <w:r>
              <w:rPr>
                <w:rFonts w:ascii="Times New Roman" w:hAnsi="Times New Roman"/>
                <w:sz w:val="24"/>
              </w:rPr>
              <w:t>ности администрации Белозерского муниципального района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организаций»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</w:tr>
      <w:tr>
        <w:trPr>
          <w:trHeight w:hRule="atLeast" w:val="400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2.1.Участие в  областных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Эффективное решение общественных проблем. Рост потенциала негосударственных организаций при поддержке органов местного самоуправления, включение в совместную работу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методической помощи осуществляется через Школу социального проектирования</w:t>
            </w:r>
            <w:r>
              <w:rPr>
                <w:rFonts w:ascii="Times New Roman" w:hAnsi="Times New Roman"/>
                <w:sz w:val="24"/>
              </w:rPr>
              <w:t>, созданную на базе БИХМ, в которой принимают участие представители СОНКО.</w:t>
            </w:r>
          </w:p>
          <w:p w14:paraId="A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подготовке проектов для участия в конкурсах оказана консультативная помощь 3 СОНКО.</w:t>
            </w:r>
          </w:p>
          <w:p w14:paraId="AB00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В 2022 году в районе прошел выездной семинар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Семинар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проводится в рамках проекта "Мобильный ресурсный центр" Грант-десант" Благотворительного фонда «Дорога к дому» при поддержке Правительства Вологодской области, кроме того районные СОНКО приняли участие в 3 областных семинарах в онлайн формате.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ind/>
              <w:jc w:val="center"/>
            </w:pPr>
          </w:p>
        </w:tc>
      </w:tr>
      <w:tr>
        <w:trPr>
          <w:trHeight w:hRule="atLeast" w:val="144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 Оказание методической и консультационной помощи социально ориентированным некоммерческим организациям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2.3. Участие в выездных обучающих семинарах в муниципальных образованиях области по развитию социально ориентированных некоммерческих организаций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C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32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 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Освещение деятельности СОНКО через районные печатные средства массовой информации, с использованием интернет – ресурсов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общест</w:t>
            </w:r>
            <w:r>
              <w:rPr>
                <w:rFonts w:ascii="Times New Roman" w:hAnsi="Times New Roman"/>
                <w:sz w:val="24"/>
              </w:rPr>
              <w:t>венного мнения граждан района, повышение авторитета СОНКО района среди населе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14:paraId="D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деятельности СОНКО размещается в официальных группах администрации Белозерского муниципального района, районной газеты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 xml:space="preserve">» в ВК, а также в печатном издании газеты, действуют  официальные группы в ВК АНО «Былинный город», «Ветераны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Информационное сопровождение общественных инициатив, размещение информации о проектах и мероприятиях СОНКО, получивших государственную поддержку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информации в районной газете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 xml:space="preserve">» и на официальном сайте администрации Белозерского муниципального района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Объявления о начале конкурсного отбора на предоставление субсидии из бюджета Белозерского муниципального округа социально ориентированным некоммерческим организациям, не являющимся государственными (муниципальными) учреждениями, о результатах отбора.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 также размещается информация по участию в областных </w:t>
            </w:r>
            <w:r>
              <w:rPr>
                <w:rFonts w:ascii="Times New Roman" w:hAnsi="Times New Roman"/>
                <w:color w:val="000000"/>
                <w:sz w:val="24"/>
              </w:rPr>
              <w:t>грантовых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конкурсах.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ind/>
              <w:jc w:val="center"/>
            </w:pPr>
          </w:p>
        </w:tc>
      </w:tr>
      <w:tr>
        <w:trPr>
          <w:trHeight w:hRule="atLeast" w:val="372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 </w:t>
            </w:r>
            <w:r>
              <w:rPr>
                <w:rFonts w:ascii="Times New Roman" w:hAnsi="Times New Roman"/>
                <w:sz w:val="24"/>
              </w:rPr>
              <w:t xml:space="preserve">Создание рубрики «Общественные объединения района» на официального сайте администрации Белозерского  муниципального района в информационно-коммуникационной сети «Интернет», информационное наполнение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политики, Орлова М.А., начальник отдела информационных технологий и защиты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Создана рубрика на официальном сайте администрации Белозерского муниципального района «НКО» </w:t>
            </w:r>
            <w:r>
              <w:rPr>
                <w:rFonts w:ascii="Times New Roman" w:hAnsi="Times New Roman"/>
                <w:sz w:val="24"/>
              </w:rPr>
              <w:t>в информационно-коммуникационной сети «Интернет»</w:t>
            </w:r>
            <w:r>
              <w:rPr>
                <w:rFonts w:ascii="Times New Roman" w:hAnsi="Times New Roman"/>
                <w:sz w:val="24"/>
              </w:rPr>
              <w:t>, в которой размещаются нормативные документы по конкурсам поддержки НКО.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F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F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F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об использовании бюджетных ассигнований районного  бюджета</w:t>
      </w:r>
    </w:p>
    <w:p w14:paraId="F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реализацию муниципальной программы за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 (тыс. руб.)</w:t>
      </w:r>
    </w:p>
    <w:p w14:paraId="F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701"/>
        <w:gridCol w:w="5048"/>
        <w:gridCol w:w="3174"/>
        <w:gridCol w:w="1843"/>
        <w:gridCol w:w="1701"/>
        <w:gridCol w:w="1842"/>
      </w:tblGrid>
      <w:t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5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3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type="dxa" w:w="53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руб.), годы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 на отчетную дату &lt;7&gt;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кассовое исполнение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223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5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Поддержка социально ориентированных некоммерческих организаций в Белозерском муниципальном районе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на 2022- 2025 годы 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>
        <w:trPr>
          <w:trHeight w:hRule="atLeast" w:val="49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района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932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 w:val="1"/>
                <w:sz w:val="24"/>
              </w:rPr>
              <w:t>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финансовой и имущественной поддержки социально ориентированным </w:t>
            </w:r>
            <w:r>
              <w:rPr>
                <w:rFonts w:ascii="Times New Roman" w:hAnsi="Times New Roman"/>
                <w:sz w:val="24"/>
              </w:rPr>
              <w:t>некоммерческим организациям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45,0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45,0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45,0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Логинов Д.Д., управляющий делами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Формирование, ведение, обязательное опубликование перечня имущества района, предназначенного для передачи во владение и (или) в пользование социально ориентированным некоммерческим организациям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Данилова О.В., начальник управления имущественных отношений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1.3.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некоммерческим организациям во владение и (или) пользование имущества района,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Данилова О.В., начальник управления имущественных отношений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253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организаций»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 областных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методической и консультационной помощи социально ориентированным некоммерческим организациям</w:t>
            </w:r>
          </w:p>
          <w:p w14:paraId="3501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2.3.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выездных обучающих семинарах в муниципальных образованиях области по развитию социально ориентированных некоммерческих организаций</w:t>
            </w:r>
          </w:p>
          <w:p w14:paraId="3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>
        <w:trPr>
          <w:trHeight w:hRule="atLeast" w:val="1028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мках текущего финансирования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>
        <w:trPr>
          <w:trHeight w:hRule="atLeast" w:val="1051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14:paraId="4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деятельности СОНКО через районные печатные средства массовой информации, с использованием интернет – ресурсов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>
        <w:trPr>
          <w:trHeight w:hRule="atLeast" w:val="322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3.2.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Информационное сопровождение общественных инициатив, размещение информации о проектах и мероприятиях СОНКО, получивших государственную </w:t>
            </w:r>
            <w:r>
              <w:rPr>
                <w:rFonts w:ascii="Times New Roman" w:hAnsi="Times New Roman"/>
                <w:sz w:val="24"/>
              </w:rPr>
              <w:t>поддержку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14:paraId="5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рубрики «Общественные объединения района» на официального сайте администрации Белозерского  муниципального района в информационно-коммуникационной сети «Интернет», информационное наполнение </w:t>
            </w:r>
          </w:p>
          <w:p w14:paraId="5801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Копылова Е.Г., начальник отдела культуры, спорта, туризма и молодёжной политики, Орлова М.А., начальник отдела информационных технологий и защиты информации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</w:tbl>
    <w:p w14:paraId="5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расходах федерального и областного бюджетов, бюджетов муниципальных образований</w:t>
      </w:r>
    </w:p>
    <w:p w14:paraId="6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14:paraId="6101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Style_3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701"/>
        <w:gridCol w:w="4536"/>
        <w:gridCol w:w="4536"/>
        <w:gridCol w:w="2268"/>
        <w:gridCol w:w="2268"/>
      </w:tblGrid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</w:t>
            </w:r>
            <w:r>
              <w:rPr>
                <w:rFonts w:ascii="Times New Roman" w:hAnsi="Times New Roman"/>
                <w:sz w:val="24"/>
              </w:rPr>
              <w:t>ование муниципальной программы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ресурсного обеспечения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&lt;9&gt;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&lt;10&gt;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27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Поддержка социально ориентированных некоммерческих организаций в Белозерском муниципальном районе</w:t>
            </w:r>
            <w:r>
              <w:rPr>
                <w:rFonts w:ascii="Times New Roman" w:hAnsi="Times New Roman"/>
                <w:color w:val="000000"/>
                <w:sz w:val="24"/>
              </w:rPr>
              <w:t>» на 2022- 2025 годы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>
        <w:trPr>
          <w:trHeight w:hRule="atLeast" w:val="336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Бюджеты муниципальных образований района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средства, переданные поселениями на осуществление их полномочий)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2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6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8301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4"/>
        </w:rPr>
      </w:pPr>
    </w:p>
    <w:p w14:paraId="8401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реализации муниципальной программы Белозерского района</w:t>
      </w:r>
    </w:p>
    <w:p w14:paraId="8501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103"/>
        <w:tblLayout w:type="fixed"/>
      </w:tblPr>
      <w:tblGrid>
        <w:gridCol w:w="3056"/>
        <w:gridCol w:w="84"/>
        <w:gridCol w:w="1152"/>
        <w:gridCol w:w="409"/>
        <w:gridCol w:w="1196"/>
        <w:gridCol w:w="122"/>
        <w:gridCol w:w="635"/>
        <w:gridCol w:w="219"/>
        <w:gridCol w:w="610"/>
        <w:gridCol w:w="366"/>
        <w:gridCol w:w="976"/>
        <w:gridCol w:w="562"/>
        <w:gridCol w:w="17"/>
        <w:gridCol w:w="397"/>
        <w:gridCol w:w="2953"/>
        <w:gridCol w:w="17"/>
        <w:gridCol w:w="2472"/>
        <w:gridCol w:w="17"/>
      </w:tblGrid>
      <w:tr>
        <w:trPr>
          <w:trHeight w:hRule="atLeast" w:val="402"/>
        </w:trPr>
        <w:tc>
          <w:tcPr>
            <w:tcW w:type="dxa" w:w="470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муниципальной программы</w:t>
            </w:r>
          </w:p>
        </w:tc>
        <w:tc>
          <w:tcPr>
            <w:tcW w:type="dxa" w:w="10559"/>
            <w:gridSpan w:val="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Поддержка социально ориентированных некоммерческих организаций в Белозерском муниципальном районе</w:t>
            </w:r>
            <w:r>
              <w:rPr>
                <w:rFonts w:ascii="Times New Roman" w:hAnsi="Times New Roman"/>
                <w:color w:val="000000"/>
                <w:sz w:val="24"/>
              </w:rPr>
              <w:t>» на 2022- 2025 годы</w:t>
            </w:r>
          </w:p>
        </w:tc>
      </w:tr>
      <w:tr>
        <w:trPr>
          <w:trHeight w:hRule="atLeast" w:val="480"/>
        </w:trPr>
        <w:tc>
          <w:tcPr>
            <w:tcW w:type="dxa" w:w="470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559"/>
            <w:gridSpan w:val="1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02"/>
        </w:trPr>
        <w:tc>
          <w:tcPr>
            <w:tcW w:type="dxa" w:w="4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эффективности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</w:p>
        </w:tc>
        <w:tc>
          <w:tcPr>
            <w:tcW w:type="dxa" w:w="10559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</w:t>
            </w:r>
          </w:p>
        </w:tc>
      </w:tr>
      <w:tr>
        <w:trPr>
          <w:trHeight w:hRule="atLeast" w:val="402"/>
        </w:trPr>
        <w:tc>
          <w:tcPr>
            <w:tcW w:type="dxa" w:w="31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5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75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38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Оценка степени достижения цели и решения задач программы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индикаторов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600"/>
        </w:trPr>
        <w:tc>
          <w:tcPr>
            <w:tcW w:type="dxa" w:w="4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Индикатор (наименование)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 изм.</w:t>
            </w:r>
          </w:p>
        </w:tc>
        <w:tc>
          <w:tcPr>
            <w:tcW w:type="dxa" w:w="146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Желаемая тенденция*</w:t>
            </w:r>
          </w:p>
        </w:tc>
        <w:tc>
          <w:tcPr>
            <w:tcW w:type="dxa" w:w="190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</w:p>
        </w:tc>
        <w:tc>
          <w:tcPr>
            <w:tcW w:type="dxa" w:w="3367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</w:t>
            </w:r>
          </w:p>
        </w:tc>
        <w:tc>
          <w:tcPr>
            <w:tcW w:type="dxa" w:w="248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spacing w:after="0" w:line="240" w:lineRule="auto"/>
              <w:ind w:right="-425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>общ</w:t>
            </w:r>
            <w:r>
              <w:rPr>
                <w:rFonts w:ascii="Times New Roman" w:hAnsi="Times New Roman"/>
                <w:color w:val="000000"/>
                <w:sz w:val="24"/>
              </w:rPr>
              <w:t>.к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691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56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СОНКО, которым предоставлена имущественная поддержка</w:t>
            </w: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33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размещенных материалов, освящающих деятельность СОНКО в  средствах массовой информации, на официальных ресурсах района в  информационно – телекоммуникационной сети «Интернет»</w:t>
            </w: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B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center"/>
            </w:pPr>
            <w:r>
              <w:t>5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районных массовых мероприятий, проводимых с участием </w:t>
            </w:r>
            <w:r>
              <w:rPr>
                <w:rStyle w:val="Style_5_ch"/>
                <w:sz w:val="24"/>
              </w:rPr>
              <w:t>СОНКО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900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СОНКО, которым оказана                          консультационная помощь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 увеличение</w:t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уменьшение</w:t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ПДЦ общ. =</w:t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ПДЦ пр.=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68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b w:val="1"/>
                <w:sz w:val="24"/>
              </w:rPr>
              <w:t>степени соответствия уровня затрат программы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45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perscript"/>
              </w:rPr>
              <w:t>б</w:t>
            </w:r>
          </w:p>
        </w:tc>
        <w:tc>
          <w:tcPr>
            <w:tcW w:type="dxa" w:w="16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perscript"/>
              </w:rPr>
              <w:t>ф</w:t>
            </w:r>
          </w:p>
        </w:tc>
        <w:tc>
          <w:tcPr>
            <w:tcW w:type="dxa" w:w="976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ЭИС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15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702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793"/>
            <w:gridSpan w:val="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эффективность и результативность муниципальной программы</w:t>
            </w:r>
          </w:p>
        </w:tc>
        <w:tc>
          <w:tcPr>
            <w:tcW w:type="dxa" w:w="1952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2,0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79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эффективна</w:t>
            </w:r>
          </w:p>
        </w:tc>
        <w:tc>
          <w:tcPr>
            <w:tcW w:type="dxa" w:w="195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1,90 и более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79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частично эффективна</w:t>
            </w:r>
          </w:p>
        </w:tc>
        <w:tc>
          <w:tcPr>
            <w:tcW w:type="dxa" w:w="195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1,90 до 1,75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79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неэффективна</w:t>
            </w:r>
          </w:p>
        </w:tc>
        <w:tc>
          <w:tcPr>
            <w:tcW w:type="dxa" w:w="195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менее 1,75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</w:tbl>
    <w:p w14:paraId="2D02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4"/>
        </w:rPr>
      </w:pPr>
      <w:bookmarkStart w:id="2" w:name="Par1149"/>
      <w:bookmarkEnd w:id="2"/>
      <w:bookmarkStart w:id="3" w:name="Par1227"/>
      <w:bookmarkEnd w:id="3"/>
      <w:bookmarkStart w:id="4" w:name="Par1465"/>
      <w:bookmarkEnd w:id="4"/>
      <w:r>
        <w:rPr>
          <w:rFonts w:ascii="Times New Roman" w:hAnsi="Times New Roman"/>
          <w:sz w:val="24"/>
        </w:rPr>
        <w:t xml:space="preserve">Заместитель </w:t>
      </w:r>
      <w:r>
        <w:rPr>
          <w:rFonts w:ascii="Times New Roman" w:hAnsi="Times New Roman"/>
          <w:sz w:val="24"/>
        </w:rPr>
        <w:t>главы округа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>А.А. Разумовская</w:t>
      </w:r>
    </w:p>
    <w:sectPr>
      <w:pgSz w:h="11906" w:orient="landscape" w:w="16838"/>
      <w:pgMar w:bottom="284" w:footer="709" w:gutter="0" w:header="709" w:left="426" w:right="42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-51"/>
      </w:pPr>
    </w:lvl>
    <w:lvl w:ilvl="1">
      <w:start w:val="1"/>
      <w:numFmt w:val="lowerLetter"/>
      <w:lvlText w:val="%2."/>
      <w:lvlJc w:val="left"/>
      <w:pPr>
        <w:ind w:hanging="360" w:left="654"/>
      </w:pPr>
    </w:lvl>
    <w:lvl w:ilvl="2">
      <w:start w:val="1"/>
      <w:numFmt w:val="lowerRoman"/>
      <w:lvlText w:val="%3."/>
      <w:lvlJc w:val="right"/>
      <w:pPr>
        <w:ind w:hanging="180" w:left="1374"/>
      </w:pPr>
    </w:lvl>
    <w:lvl w:ilvl="3">
      <w:start w:val="1"/>
      <w:numFmt w:val="decimal"/>
      <w:lvlText w:val="%4."/>
      <w:lvlJc w:val="left"/>
      <w:pPr>
        <w:ind w:hanging="360" w:left="2094"/>
      </w:pPr>
    </w:lvl>
    <w:lvl w:ilvl="4">
      <w:start w:val="1"/>
      <w:numFmt w:val="lowerLetter"/>
      <w:lvlText w:val="%5."/>
      <w:lvlJc w:val="left"/>
      <w:pPr>
        <w:ind w:hanging="360" w:left="2814"/>
      </w:pPr>
    </w:lvl>
    <w:lvl w:ilvl="5">
      <w:start w:val="1"/>
      <w:numFmt w:val="lowerRoman"/>
      <w:lvlText w:val="%6."/>
      <w:lvlJc w:val="right"/>
      <w:pPr>
        <w:ind w:hanging="180" w:left="3534"/>
      </w:pPr>
    </w:lvl>
    <w:lvl w:ilvl="6">
      <w:start w:val="1"/>
      <w:numFmt w:val="decimal"/>
      <w:lvlText w:val="%7."/>
      <w:lvlJc w:val="left"/>
      <w:pPr>
        <w:ind w:hanging="360" w:left="4254"/>
      </w:pPr>
    </w:lvl>
    <w:lvl w:ilvl="7">
      <w:start w:val="1"/>
      <w:numFmt w:val="lowerLetter"/>
      <w:lvlText w:val="%8."/>
      <w:lvlJc w:val="left"/>
      <w:pPr>
        <w:ind w:hanging="360" w:left="4974"/>
      </w:pPr>
    </w:lvl>
    <w:lvl w:ilvl="8">
      <w:start w:val="1"/>
      <w:numFmt w:val="lowerRoman"/>
      <w:lvlText w:val="%9."/>
      <w:lvlJc w:val="right"/>
      <w:pPr>
        <w:ind w:hanging="180" w:left="569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Рабочий"/>
    <w:basedOn w:val="Style_1"/>
    <w:link w:val="Style_12_ch"/>
  </w:style>
  <w:style w:styleId="Style_12_ch" w:type="character">
    <w:name w:val="Рабочий"/>
    <w:basedOn w:val="Style_1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5" w:type="paragraph">
    <w:name w:val="Font Style52"/>
    <w:basedOn w:val="Style_13"/>
    <w:link w:val="Style_5_ch"/>
    <w:rPr>
      <w:rFonts w:ascii="Times New Roman" w:hAnsi="Times New Roman"/>
      <w:sz w:val="26"/>
    </w:rPr>
  </w:style>
  <w:style w:styleId="Style_5_ch" w:type="character">
    <w:name w:val="Font Style52"/>
    <w:basedOn w:val="Style_13_ch"/>
    <w:link w:val="Style_5"/>
    <w:rPr>
      <w:rFonts w:ascii="Times New Roman" w:hAnsi="Times New Roman"/>
      <w:sz w:val="26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2" w:type="paragraph">
    <w:name w:val="ConsPlusNormal"/>
    <w:link w:val="Style_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List Paragraph"/>
    <w:basedOn w:val="Style_6"/>
    <w:link w:val="Style_16_ch"/>
    <w:pPr>
      <w:ind w:firstLine="0" w:left="720"/>
      <w:contextualSpacing w:val="1"/>
    </w:pPr>
  </w:style>
  <w:style w:styleId="Style_16_ch" w:type="character">
    <w:name w:val="List Paragraph"/>
    <w:basedOn w:val="Style_6_ch"/>
    <w:link w:val="Style_16"/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" w:type="paragraph">
    <w:name w:val="No Spacing"/>
    <w:link w:val="Style_1_ch"/>
    <w:pPr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No Spacing"/>
    <w:link w:val="Style_1"/>
    <w:rPr>
      <w:rFonts w:ascii="Times New Roman" w:hAnsi="Times New Roman"/>
      <w:sz w:val="24"/>
    </w:rPr>
  </w:style>
  <w:style w:styleId="Style_18" w:type="paragraph">
    <w:name w:val="Hyperlink"/>
    <w:basedOn w:val="Style_13"/>
    <w:link w:val="Style_18_ch"/>
    <w:rPr>
      <w:color w:val="0000FF"/>
      <w:u w:val="single"/>
    </w:rPr>
  </w:style>
  <w:style w:styleId="Style_18_ch" w:type="character">
    <w:name w:val="Hyperlink"/>
    <w:basedOn w:val="Style_13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Standard"/>
    <w:link w:val="Style_23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Standard"/>
    <w:link w:val="Style_23"/>
    <w:rPr>
      <w:rFonts w:ascii="Times New Roman" w:hAnsi="Times New Roman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Balloon Text"/>
    <w:basedOn w:val="Style_6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FollowedHyperlink"/>
    <w:basedOn w:val="Style_13"/>
    <w:link w:val="Style_27_ch"/>
    <w:rPr>
      <w:color w:themeColor="followedHyperlink" w:val="800080"/>
      <w:u w:val="single"/>
    </w:rPr>
  </w:style>
  <w:style w:styleId="Style_27_ch" w:type="character">
    <w:name w:val="FollowedHyperlink"/>
    <w:basedOn w:val="Style_13_ch"/>
    <w:link w:val="Style_27"/>
    <w:rPr>
      <w:color w:themeColor="followedHyperlink" w:val="800080"/>
      <w:u w:val="single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ConsPlusNonformat"/>
    <w:link w:val="Style_3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1_ch" w:type="character">
    <w:name w:val="ConsPlusNonformat"/>
    <w:link w:val="Style_31"/>
    <w:rPr>
      <w:rFonts w:ascii="Courier New" w:hAnsi="Courier New"/>
      <w:sz w:val="20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2023-03-30T09:43:29Z</dcterms:modified>
</cp:coreProperties>
</file>