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40" w:left="0"/>
        <w:jc w:val="center"/>
      </w:pPr>
      <w:r>
        <w:t>ГОДОВОЙ ОТЧЕТ</w:t>
      </w:r>
    </w:p>
    <w:p w14:paraId="02000000">
      <w:pPr>
        <w:pStyle w:val="Style_1"/>
        <w:ind/>
        <w:jc w:val="center"/>
      </w:pPr>
      <w:r>
        <w:t>о реализации муниципальной программы «Формирование законопослушного поведения участников дорожного движения  в Белозерском муниципальном районе на 2021-2025 годы»</w:t>
      </w:r>
    </w:p>
    <w:p w14:paraId="03000000">
      <w:pPr>
        <w:pStyle w:val="Style_1"/>
        <w:ind/>
        <w:jc w:val="center"/>
      </w:pPr>
      <w:r>
        <w:t>в 2022 году</w:t>
      </w:r>
    </w:p>
    <w:p w14:paraId="04000000">
      <w:pPr>
        <w:pStyle w:val="Style_1"/>
        <w:ind w:firstLine="540" w:left="0"/>
        <w:jc w:val="both"/>
      </w:pPr>
    </w:p>
    <w:p w14:paraId="05000000">
      <w:pPr>
        <w:pStyle w:val="Style_1"/>
        <w:numPr>
          <w:ilvl w:val="0"/>
          <w:numId w:val="1"/>
        </w:numPr>
        <w:ind/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14:paraId="06000000">
      <w:pPr>
        <w:pStyle w:val="Style_1"/>
        <w:ind/>
        <w:jc w:val="center"/>
      </w:pPr>
      <w:r>
        <w:t>Сведения о достижении значений показателей (индикаторов)</w:t>
      </w:r>
    </w:p>
    <w:tbl>
      <w:tblPr>
        <w:tblStyle w:val="Style_2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1"/>
        <w:gridCol w:w="3382"/>
        <w:gridCol w:w="812"/>
        <w:gridCol w:w="947"/>
        <w:gridCol w:w="811"/>
        <w:gridCol w:w="948"/>
        <w:gridCol w:w="2705"/>
      </w:tblGrid>
      <w:tr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3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type="dxa" w:w="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7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</w:t>
            </w:r>
            <w:r>
              <w:rPr>
                <w:sz w:val="24"/>
              </w:rPr>
              <w:t>отчетному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  <w:tc>
          <w:tcPr>
            <w:tcW w:type="dxa" w:w="960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 «Формирование законопослушного поведения участников дорожного движения  в Белозерском муниципальном районе на 2021-2025 годы» в 2022 году.</w:t>
            </w:r>
          </w:p>
        </w:tc>
      </w:tr>
      <w:tr>
        <w:trPr>
          <w:trHeight w:hRule="atLeast" w:val="91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погибших в ДТП.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</w:tr>
      <w:tr>
        <w:trPr>
          <w:trHeight w:hRule="atLeast" w:val="696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ДТП с пострадавшими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детей пострадавших в ДТП.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</w:tr>
    </w:tbl>
    <w:p w14:paraId="36000000">
      <w:pPr>
        <w:sectPr>
          <w:pgSz w:h="16836" w:orient="portrait" w:w="11905"/>
          <w:pgMar w:bottom="850" w:footer="0" w:gutter="0" w:header="0" w:left="1560" w:right="705" w:top="993"/>
        </w:sectPr>
      </w:pPr>
    </w:p>
    <w:p w14:paraId="37000000">
      <w:pPr>
        <w:pStyle w:val="Style_1"/>
        <w:ind/>
        <w:jc w:val="center"/>
        <w:outlineLvl w:val="0"/>
        <w:rPr>
          <w:sz w:val="24"/>
        </w:rPr>
      </w:pPr>
      <w:r>
        <w:t>Сведения о степени выполнения основных мероприятий,</w:t>
      </w:r>
    </w:p>
    <w:p w14:paraId="38000000">
      <w:pPr>
        <w:pStyle w:val="Style_1"/>
        <w:ind/>
        <w:jc w:val="center"/>
      </w:pPr>
      <w:r>
        <w:t>муниципальной программы</w:t>
      </w:r>
    </w:p>
    <w:p w14:paraId="39000000">
      <w:pPr>
        <w:pStyle w:val="Style_1"/>
        <w:ind/>
        <w:jc w:val="both"/>
        <w:rPr>
          <w:sz w:val="24"/>
        </w:rPr>
      </w:pPr>
    </w:p>
    <w:tbl>
      <w:tblPr>
        <w:tblStyle w:val="Style_2"/>
        <w:tblInd w:type="dxa" w:w="-22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39"/>
        <w:gridCol w:w="2829"/>
        <w:gridCol w:w="2019"/>
        <w:gridCol w:w="942"/>
        <w:gridCol w:w="942"/>
        <w:gridCol w:w="943"/>
        <w:gridCol w:w="1077"/>
        <w:gridCol w:w="1211"/>
        <w:gridCol w:w="1482"/>
        <w:gridCol w:w="3231"/>
      </w:tblGrid>
      <w:tr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B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type="dxa" w:w="20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18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type="dxa" w:w="20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32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1"/>
              <w:ind w:right="-62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32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Предупреждение  опасного поведения  участников дорожного движения.</w:t>
            </w:r>
          </w:p>
          <w:p w14:paraId="54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Управление образования, образовательные организации района, ОГИБДД МО МВД России «Белозерский».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 xml:space="preserve"> 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1"/>
              <w:rPr>
                <w:color w:val="FF0000"/>
                <w:sz w:val="22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Создание наглядных агитационных материалов для проведения информационно-пропагандистских компаний, направленных на снижение аварийности, смертности и травматизма на дорогах.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образования, образовательные организации района, ОГИБДД МО МВД России «Белозерский».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Приобретение специализированной учебной литературы для информационного сопровождения профилактических мероприятий по предупреждению опасного поведения на </w:t>
            </w:r>
            <w:r>
              <w:rPr>
                <w:sz w:val="24"/>
              </w:rPr>
              <w:t>дорогах.</w:t>
            </w:r>
          </w:p>
          <w:p w14:paraId="69000000">
            <w:pPr>
              <w:pStyle w:val="Style_1"/>
              <w:rPr>
                <w:sz w:val="24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района, образовательные учреждения, ОГИБДД МО МВД России «Белозерский» (по </w:t>
            </w:r>
            <w:r>
              <w:rPr>
                <w:sz w:val="24"/>
              </w:rPr>
              <w:t>согласованию).</w:t>
            </w:r>
            <w:r>
              <w:rPr>
                <w:sz w:val="24"/>
              </w:rPr>
              <w:tab/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Проведение муниципальных тематических, информационно-пропагандистских и профилактических мероприятий, соревнований, конкурсов (Безопасное колесо), выставок, проведение уроков правовых знаний в </w:t>
            </w:r>
            <w:r>
              <w:rPr>
                <w:sz w:val="24"/>
              </w:rPr>
              <w:t>образовательныъ</w:t>
            </w:r>
            <w:r>
              <w:rPr>
                <w:sz w:val="24"/>
              </w:rPr>
              <w:t xml:space="preserve"> учреждениях в рамках Всероссийской акции «</w:t>
            </w:r>
            <w:r>
              <w:rPr>
                <w:sz w:val="24"/>
              </w:rPr>
              <w:t>Внимание-дети</w:t>
            </w:r>
            <w:r>
              <w:rPr>
                <w:sz w:val="24"/>
              </w:rPr>
              <w:t>», проведение акции «Неделя безопасности» с несовершеннолетними участниками дорожного движения, в том числен с членами ЮИД.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 района, образовательные учреждения, ОГИБДД МО МВД России «Белозерский» (по согласованию).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>
              <w:rPr>
                <w:sz w:val="24"/>
              </w:rPr>
              <w:t>световозвращающих</w:t>
            </w:r>
            <w:r>
              <w:rPr>
                <w:sz w:val="24"/>
              </w:rPr>
              <w:t xml:space="preserve"> приспособлений среди учащихся образовательных учреждений.</w:t>
            </w:r>
          </w:p>
          <w:p w14:paraId="7E000000">
            <w:pPr>
              <w:pStyle w:val="Style_1"/>
              <w:rPr>
                <w:sz w:val="24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 района, образовательные учреждения, ОГИБДД МО МВД России «Белозерский» (по согласованию).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концертов, </w:t>
            </w:r>
            <w:r>
              <w:rPr>
                <w:sz w:val="24"/>
              </w:rPr>
              <w:t>театрализованных представлений, тематических конкурсов, бесед, книжных выставок по профилактике безопасности дорожного движения.</w:t>
            </w:r>
          </w:p>
          <w:p w14:paraId="89000000">
            <w:pPr>
              <w:pStyle w:val="Style_1"/>
              <w:rPr>
                <w:sz w:val="24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>района, образовательные учреждения, ОГИБДД МО МВД России «Белозерский» (по согласованию).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движения.</w:t>
            </w:r>
          </w:p>
          <w:p w14:paraId="94000000">
            <w:pPr>
              <w:pStyle w:val="Style_1"/>
              <w:rPr>
                <w:sz w:val="24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 района, образовательные организации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Оснащение дошкольных образовательных организаций оборудованием, позволяющим в игровой форме сформировать навыки безопасного поведения на улично-дорожной сети. Изготовление стендов, уголков.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 района, образовательные организации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1"/>
              <w:rPr>
                <w:color w:val="FF0000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Обустройство на базе МОУ «Средняя общеобразовательная школа №2 им. С.С. Орлова площадки для проведения учебных </w:t>
            </w:r>
            <w:r>
              <w:rPr>
                <w:sz w:val="24"/>
              </w:rPr>
              <w:t>занятий по обучению детей правилам дорожного движения.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района, образовательные учреждения, ОГИБДД МО </w:t>
            </w:r>
            <w:r>
              <w:rPr>
                <w:sz w:val="24"/>
              </w:rPr>
              <w:t>МВД России «Белозерский» (по согласованию).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rPr>
                <w:sz w:val="24"/>
              </w:rPr>
            </w:pPr>
          </w:p>
        </w:tc>
      </w:tr>
    </w:tbl>
    <w:p w14:paraId="B1000000">
      <w:pPr>
        <w:pStyle w:val="Style_1"/>
        <w:ind/>
        <w:jc w:val="both"/>
        <w:rPr>
          <w:color w:val="FF0000"/>
        </w:rPr>
      </w:pPr>
    </w:p>
    <w:p w14:paraId="B2000000">
      <w:pPr>
        <w:pStyle w:val="Style_1"/>
        <w:ind/>
        <w:jc w:val="both"/>
        <w:rPr>
          <w:color w:val="FF0000"/>
        </w:rPr>
      </w:pPr>
    </w:p>
    <w:p w14:paraId="B3000000">
      <w:pPr>
        <w:sectPr>
          <w:pgSz w:h="11905" w:orient="landscape" w:w="16836"/>
          <w:pgMar w:bottom="568" w:footer="0" w:gutter="0" w:header="0" w:left="850" w:right="993" w:top="709"/>
        </w:sectPr>
      </w:pPr>
    </w:p>
    <w:p w14:paraId="B4000000">
      <w:pPr>
        <w:pStyle w:val="Style_1"/>
        <w:ind w:firstLine="540" w:left="0"/>
        <w:jc w:val="both"/>
        <w:rPr>
          <w:color w:val="FF0000"/>
          <w:u w:val="single"/>
        </w:rPr>
      </w:pPr>
    </w:p>
    <w:p w14:paraId="B5000000">
      <w:pPr>
        <w:pStyle w:val="Style_1"/>
        <w:ind w:firstLine="540" w:left="0"/>
        <w:jc w:val="both"/>
        <w:rPr>
          <w:u w:val="single"/>
        </w:rPr>
      </w:pPr>
      <w:r>
        <w:rPr>
          <w:u w:val="single"/>
        </w:rPr>
        <w:t>Результаты использования бюджетных ассигнований бюджета района и иных средств на реализацию мероприятий муниципальной программы</w:t>
      </w:r>
    </w:p>
    <w:p w14:paraId="B6000000">
      <w:pPr>
        <w:pStyle w:val="Style_1"/>
        <w:ind/>
        <w:jc w:val="both"/>
      </w:pPr>
    </w:p>
    <w:p w14:paraId="B7000000">
      <w:pPr>
        <w:pStyle w:val="Style_1"/>
        <w:ind/>
        <w:jc w:val="center"/>
      </w:pPr>
      <w:r>
        <w:t>Отчет об использовании бюджетных ассигнований бюджета</w:t>
      </w:r>
    </w:p>
    <w:p w14:paraId="B8000000">
      <w:pPr>
        <w:pStyle w:val="Style_1"/>
        <w:ind/>
        <w:jc w:val="center"/>
      </w:pPr>
      <w:r>
        <w:t>района на реализацию муниципальной программы (тыс. руб.)</w:t>
      </w:r>
    </w:p>
    <w:p w14:paraId="B9000000">
      <w:pPr>
        <w:pStyle w:val="Style_1"/>
        <w:ind/>
        <w:jc w:val="both"/>
        <w:rPr>
          <w:color w:val="FF0000"/>
        </w:rPr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12"/>
        <w:gridCol w:w="2084"/>
        <w:gridCol w:w="3057"/>
        <w:gridCol w:w="1390"/>
        <w:gridCol w:w="1252"/>
        <w:gridCol w:w="1249"/>
      </w:tblGrid>
      <w:tr>
        <w:tc>
          <w:tcPr>
            <w:tcW w:type="dxa" w:w="1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30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38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c>
          <w:tcPr>
            <w:tcW w:type="dxa" w:w="1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роспись, план </w:t>
            </w:r>
            <w:r>
              <w:rPr>
                <w:sz w:val="24"/>
              </w:rPr>
              <w:t>на</w:t>
            </w:r>
          </w:p>
          <w:p w14:paraId="B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отчетного года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сводная бюджетная роспись на отчетную дату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3196"/>
            <w:gridSpan w:val="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</w:p>
          <w:p w14:paraId="C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«Формирование законопослушного поведения участников дорожного движения  в Белозерском муниципальном районе на 2021-2025 годы» в 2021 году.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</w:tr>
      <w:tr>
        <w:tc>
          <w:tcPr>
            <w:tcW w:type="dxa" w:w="3196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1"/>
              <w:rPr>
                <w:sz w:val="24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1"/>
              <w:rPr>
                <w:sz w:val="24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3196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 района, образовательные организации района, ОГИБДД МО МВД России «Белозерский».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1"/>
              <w:rPr>
                <w:sz w:val="24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1"/>
              <w:rPr>
                <w:sz w:val="24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Предупреждение  опасного поведения  участников дорожного движения.</w:t>
            </w:r>
          </w:p>
          <w:p w14:paraId="D8000000">
            <w:pPr>
              <w:pStyle w:val="Style_1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Управление образования района, образовательные организации района, ОГИБДД  МО МВД России «Белозерский».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  <w:p w14:paraId="DB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2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движения.</w:t>
            </w:r>
          </w:p>
          <w:p w14:paraId="E0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района, образовательные организации района,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</w:tr>
    </w:tbl>
    <w:p w14:paraId="E5000000">
      <w:pPr>
        <w:pStyle w:val="Style_1"/>
        <w:ind/>
        <w:jc w:val="both"/>
        <w:rPr>
          <w:color w:val="FF0000"/>
        </w:rPr>
      </w:pPr>
    </w:p>
    <w:p w14:paraId="E6000000">
      <w:pPr>
        <w:pStyle w:val="Style_1"/>
        <w:ind/>
        <w:jc w:val="both"/>
        <w:rPr>
          <w:color w:val="FF0000"/>
        </w:rPr>
      </w:pPr>
    </w:p>
    <w:p w14:paraId="E7000000">
      <w:pPr>
        <w:pStyle w:val="Style_1"/>
        <w:ind/>
        <w:jc w:val="center"/>
      </w:pPr>
    </w:p>
    <w:p w14:paraId="E8000000">
      <w:pPr>
        <w:pStyle w:val="Style_1"/>
        <w:ind/>
        <w:jc w:val="center"/>
      </w:pPr>
    </w:p>
    <w:p w14:paraId="E9000000">
      <w:pPr>
        <w:pStyle w:val="Style_1"/>
        <w:ind/>
        <w:jc w:val="center"/>
      </w:pPr>
    </w:p>
    <w:p w14:paraId="EA000000">
      <w:pPr>
        <w:pStyle w:val="Style_1"/>
        <w:ind/>
        <w:jc w:val="center"/>
      </w:pPr>
      <w:r>
        <w:t xml:space="preserve">Информация о расходах </w:t>
      </w:r>
      <w:r>
        <w:t>федерального</w:t>
      </w:r>
      <w:r>
        <w:t xml:space="preserve"> и областного</w:t>
      </w:r>
    </w:p>
    <w:p w14:paraId="EB000000">
      <w:pPr>
        <w:pStyle w:val="Style_1"/>
        <w:ind/>
        <w:jc w:val="center"/>
      </w:pPr>
      <w:r>
        <w:t>бюджетов, бюджетов муниципальных образований</w:t>
      </w:r>
    </w:p>
    <w:p w14:paraId="EC000000">
      <w:pPr>
        <w:pStyle w:val="Style_1"/>
        <w:ind/>
        <w:jc w:val="center"/>
      </w:pPr>
      <w:r>
        <w:t>района, бюджетов государственных внебюджетных</w:t>
      </w:r>
    </w:p>
    <w:p w14:paraId="ED000000">
      <w:pPr>
        <w:pStyle w:val="Style_1"/>
        <w:ind/>
        <w:jc w:val="center"/>
      </w:pPr>
      <w:r>
        <w:t>фондов, юридических лиц на реализацию целей</w:t>
      </w:r>
    </w:p>
    <w:p w14:paraId="EE000000">
      <w:pPr>
        <w:pStyle w:val="Style_1"/>
        <w:ind/>
        <w:jc w:val="center"/>
      </w:pPr>
      <w:r>
        <w:t>муниципальной программы района (тыс. руб.)</w:t>
      </w:r>
    </w:p>
    <w:p w14:paraId="EF000000">
      <w:pPr>
        <w:pStyle w:val="Style_1"/>
        <w:ind/>
        <w:jc w:val="both"/>
        <w:rPr>
          <w:color w:val="FF0000"/>
        </w:rPr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34"/>
        <w:gridCol w:w="2410"/>
        <w:gridCol w:w="2835"/>
        <w:gridCol w:w="1701"/>
        <w:gridCol w:w="1701"/>
      </w:tblGrid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Оценка расходов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Фактические расходы 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«Формирование законопослушного поведения участников дорожного движения  в Белозерском муниципальном районе на 2021-2025 годы» в 2021 году.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бюджеты муниципальных образований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1010000">
      <w:pPr>
        <w:pStyle w:val="Style_1"/>
        <w:ind w:firstLine="540" w:left="0"/>
        <w:jc w:val="both"/>
        <w:rPr>
          <w:color w:val="FF0000"/>
        </w:rPr>
      </w:pPr>
    </w:p>
    <w:p w14:paraId="12010000">
      <w:pPr>
        <w:pStyle w:val="Style_1"/>
        <w:ind/>
        <w:jc w:val="both"/>
        <w:rPr>
          <w:color w:val="FF0000"/>
        </w:rPr>
      </w:pPr>
    </w:p>
    <w:p w14:paraId="13010000">
      <w:pPr>
        <w:pStyle w:val="Style_1"/>
        <w:ind w:firstLine="540" w:left="0"/>
        <w:jc w:val="both"/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14:paraId="14010000">
      <w:pPr>
        <w:pStyle w:val="Style_1"/>
        <w:ind w:firstLine="540" w:left="0"/>
        <w:jc w:val="both"/>
        <w:rPr>
          <w:i w:val="1"/>
        </w:rPr>
      </w:pPr>
      <w:r>
        <w:rPr>
          <w:u w:val="single"/>
        </w:rPr>
        <w:t>Результаты оценки эффективности муниципальной программы</w:t>
      </w:r>
      <w:r>
        <w:rPr>
          <w:i w:val="1"/>
        </w:rPr>
        <w:t>: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4253"/>
        <w:gridCol w:w="979"/>
        <w:gridCol w:w="992"/>
        <w:gridCol w:w="3059"/>
      </w:tblGrid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type="dxa" w:w="1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  <w:tc>
          <w:tcPr>
            <w:tcW w:type="dxa" w:w="30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фактического и планового значений k-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показателя (индикатора) достижения целей и решения задач муниципальной программы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0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погибших в ДТП.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ДТП с пострадавшими.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8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детей пострадавших в ДТП.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8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</w:tr>
    </w:tbl>
    <w:p w14:paraId="30010000">
      <w:pPr>
        <w:spacing w:after="0" w:line="240" w:lineRule="auto"/>
        <w:ind w:firstLine="540" w:left="0"/>
        <w:jc w:val="both"/>
        <w:rPr>
          <w:rFonts w:ascii="Times New Roman" w:hAnsi="Times New Roman"/>
          <w:color w:val="FF0000"/>
          <w:sz w:val="28"/>
        </w:rPr>
      </w:pPr>
    </w:p>
    <w:p w14:paraId="3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Показатель степени достижения целей и решения задач муниципальной программы в целом:  </w:t>
      </w:r>
    </w:p>
    <w:p w14:paraId="3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ПДЦ общ = 0,27</w:t>
      </w:r>
    </w:p>
    <w:p w14:paraId="3301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Оценка степени соответствия запланированному уровню затрат и эффективности использования средств бюджета района: </w:t>
      </w:r>
    </w:p>
    <w:p w14:paraId="3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средств, утвержденный в бюджете района на реализацию программы  на 2021 год – 130,0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.;</w:t>
      </w:r>
    </w:p>
    <w:p w14:paraId="3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фактический объем средств бюджета района, направленный на реализацию программы – 130,0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;</w:t>
      </w:r>
    </w:p>
    <w:p w14:paraId="36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соответствия уровню затрат и эффективности использования средств бюджета района </w:t>
      </w:r>
    </w:p>
    <w:p w14:paraId="37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ЭИС = 1</w:t>
      </w:r>
    </w:p>
    <w:p w14:paraId="38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Общая эффективность муниципальной программы</w:t>
      </w:r>
      <w:r>
        <w:rPr>
          <w:rFonts w:ascii="Times New Roman" w:hAnsi="Times New Roman"/>
          <w:sz w:val="28"/>
        </w:rPr>
        <w:t xml:space="preserve">: </w:t>
      </w:r>
    </w:p>
    <w:p w14:paraId="3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= (0,27+0,27)/1=0,54</w:t>
      </w:r>
    </w:p>
    <w:p w14:paraId="3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общей эффективности реализации муниципальной программы Формирование законопослушного поведения участников дорожного движения  в Белозерском муниципальном районе на 2021-2025 годы 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>«Программа не эффективна»</w:t>
      </w:r>
    </w:p>
    <w:p w14:paraId="3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C010000">
      <w:pPr>
        <w:pStyle w:val="Style_1"/>
        <w:ind w:firstLine="540" w:left="0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14:paraId="3D010000">
      <w:pPr>
        <w:pStyle w:val="Style_1"/>
        <w:ind w:firstLine="540" w:left="0"/>
        <w:jc w:val="both"/>
      </w:pPr>
    </w:p>
    <w:p w14:paraId="3E010000">
      <w:pPr>
        <w:pStyle w:val="Style_1"/>
        <w:ind w:firstLine="540" w:left="0"/>
        <w:jc w:val="both"/>
      </w:pPr>
      <w:r>
        <w:t>В период 2022 года в муниципальную программу вносились изменения:</w:t>
      </w:r>
    </w:p>
    <w:p w14:paraId="3F010000">
      <w:pPr>
        <w:pStyle w:val="Style_1"/>
        <w:ind w:firstLine="540" w:left="0"/>
        <w:jc w:val="both"/>
      </w:pPr>
      <w:r>
        <w:t xml:space="preserve">Постановление администрации района от 13.10.2022 № 368 о Внесении изменений в постановление администрации района от 16.12.2021. </w:t>
      </w:r>
    </w:p>
    <w:p w14:paraId="40010000">
      <w:pPr>
        <w:pStyle w:val="Style_1"/>
        <w:ind w:firstLine="540" w:left="0"/>
        <w:jc w:val="both"/>
      </w:pPr>
    </w:p>
    <w:p w14:paraId="41010000">
      <w:pPr>
        <w:pStyle w:val="Style_1"/>
        <w:ind w:firstLine="540" w:left="0"/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14:paraId="42010000">
      <w:pPr>
        <w:pStyle w:val="Style_1"/>
        <w:ind w:firstLine="540" w:left="0"/>
        <w:jc w:val="both"/>
      </w:pPr>
    </w:p>
    <w:p w14:paraId="43010000">
      <w:pPr>
        <w:pStyle w:val="Style_1"/>
        <w:ind w:firstLine="540" w:left="0"/>
        <w:jc w:val="both"/>
      </w:pPr>
      <w:r>
        <w:t xml:space="preserve">Основными направлениями реализации </w:t>
      </w:r>
      <w:r>
        <w:t xml:space="preserve">новой </w:t>
      </w:r>
      <w:r>
        <w:t xml:space="preserve">муниципальной Программы «Формирование законопослушного поведения участников дорожного движения в Белозерском муниципальном </w:t>
      </w:r>
      <w:r>
        <w:t xml:space="preserve">округе на 2023-2027 </w:t>
      </w:r>
      <w:r>
        <w:t>годы»</w:t>
      </w:r>
      <w:r>
        <w:t xml:space="preserve"> </w:t>
      </w:r>
      <w:r>
        <w:t xml:space="preserve"> </w:t>
      </w:r>
      <w:r>
        <w:t>определены</w:t>
      </w:r>
      <w:r>
        <w:t xml:space="preserve">: </w:t>
      </w:r>
    </w:p>
    <w:p w14:paraId="44010000">
      <w:pPr>
        <w:pStyle w:val="Style_1"/>
        <w:ind w:firstLine="540" w:left="0"/>
        <w:jc w:val="both"/>
      </w:pPr>
      <w:r>
        <w:t>- сокращение количества дорожно-транспортных происшествий с погибшими и  пострадавшими;</w:t>
      </w:r>
    </w:p>
    <w:p w14:paraId="45010000">
      <w:pPr>
        <w:pStyle w:val="Style_1"/>
        <w:ind w:firstLine="540" w:left="0"/>
        <w:jc w:val="both"/>
      </w:pPr>
      <w:r>
        <w:t>- повышение уровня правового воспитания участников дорожного движения, культуры их поведения;</w:t>
      </w:r>
    </w:p>
    <w:p w14:paraId="46010000">
      <w:pPr>
        <w:pStyle w:val="Style_1"/>
        <w:ind w:firstLine="540" w:left="0"/>
        <w:jc w:val="both"/>
      </w:pPr>
      <w:r>
        <w:t>- профилактика детского дорожно-транспортного травматизма в Белозерском муниципальном районе.</w:t>
      </w:r>
    </w:p>
    <w:p w14:paraId="47010000">
      <w:pPr>
        <w:pStyle w:val="Style_1"/>
        <w:ind/>
        <w:jc w:val="both"/>
      </w:pPr>
    </w:p>
    <w:p w14:paraId="48010000">
      <w:pPr>
        <w:pStyle w:val="Style_1"/>
        <w:ind/>
        <w:jc w:val="both"/>
      </w:pPr>
    </w:p>
    <w:p w14:paraId="49010000">
      <w:pPr>
        <w:pStyle w:val="Style_1"/>
        <w:ind/>
        <w:jc w:val="both"/>
      </w:pPr>
      <w:bookmarkStart w:id="1" w:name="_GoBack"/>
      <w:bookmarkEnd w:id="1"/>
      <w:r>
        <w:t xml:space="preserve">Главный специалист отдела архитектуры и </w:t>
      </w:r>
    </w:p>
    <w:p w14:paraId="4A010000">
      <w:pPr>
        <w:pStyle w:val="Style_1"/>
        <w:ind/>
        <w:jc w:val="both"/>
      </w:pPr>
      <w:r>
        <w:t xml:space="preserve">строительства администрации </w:t>
      </w:r>
    </w:p>
    <w:p w14:paraId="4B010000">
      <w:pPr>
        <w:pStyle w:val="Style_1"/>
        <w:ind/>
        <w:jc w:val="both"/>
      </w:pPr>
      <w:r>
        <w:t xml:space="preserve">Белозерского муниципального округа                                                С.В. </w:t>
      </w:r>
      <w:r>
        <w:t>Карпунин</w:t>
      </w:r>
    </w:p>
    <w:sectPr>
      <w:pgSz w:h="16838" w:orient="portrait" w:w="11906"/>
      <w:pgMar w:bottom="567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Обычный1"/>
    <w:link w:val="Style_11_ch"/>
    <w:rPr>
      <w:sz w:val="22"/>
    </w:rPr>
  </w:style>
  <w:style w:styleId="Style_11_ch" w:type="character">
    <w:name w:val="Обычный1"/>
    <w:link w:val="Style_11"/>
    <w:rPr>
      <w:sz w:val="22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List Paragraph"/>
    <w:basedOn w:val="Style_3"/>
    <w:link w:val="Style_14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14_ch" w:type="character">
    <w:name w:val="List Paragraph"/>
    <w:basedOn w:val="Style_3_ch"/>
    <w:link w:val="Style_14"/>
    <w:rPr>
      <w:rFonts w:ascii="Times New Roman" w:hAnsi="Times New Roman"/>
      <w:sz w:val="20"/>
    </w:rPr>
  </w:style>
  <w:style w:styleId="Style_1" w:type="paragraph">
    <w:name w:val="ConsPlusNormal"/>
    <w:link w:val="Style_1_ch"/>
    <w:rPr>
      <w:rFonts w:ascii="Times New Roman" w:hAnsi="Times New Roman"/>
      <w:sz w:val="28"/>
    </w:rPr>
  </w:style>
  <w:style w:styleId="Style_1_ch" w:type="character">
    <w:name w:val="ConsPlusNormal"/>
    <w:link w:val="Style_1"/>
    <w:rPr>
      <w:rFonts w:ascii="Times New Roman" w:hAnsi="Times New Roman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2023-03-14T07:23:07Z</dcterms:modified>
</cp:coreProperties>
</file>