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E57AB8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E57AB8" w:rsidRPr="00E10BE8" w:rsidRDefault="00E57AB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E57AB8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A41C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A1D52">
              <w:rPr>
                <w:rFonts w:ascii="Times New Roman" w:hAnsi="Times New Roman"/>
              </w:rPr>
              <w:t>« 26</w:t>
            </w:r>
            <w:r w:rsidRPr="00BA5E24">
              <w:rPr>
                <w:rFonts w:ascii="Times New Roman" w:hAnsi="Times New Roman"/>
              </w:rPr>
              <w:t>»</w:t>
            </w:r>
            <w:r w:rsidR="008A1D52">
              <w:rPr>
                <w:rFonts w:ascii="Times New Roman" w:hAnsi="Times New Roman"/>
              </w:rPr>
              <w:t xml:space="preserve"> апреля 2024</w:t>
            </w:r>
            <w:r w:rsidR="00A41CFE">
              <w:rPr>
                <w:rFonts w:ascii="Times New Roman" w:hAnsi="Times New Roman"/>
              </w:rPr>
              <w:t xml:space="preserve"> г</w:t>
            </w:r>
            <w:r w:rsidRPr="00BA5E24">
              <w:rPr>
                <w:rFonts w:ascii="Times New Roman" w:hAnsi="Times New Roman"/>
              </w:rPr>
              <w:t>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5F" w:rsidRPr="00646310" w:rsidRDefault="006928AD" w:rsidP="006928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517A5F" w:rsidRPr="00646310" w:rsidRDefault="006928AD" w:rsidP="006928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8A1D52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D52">
                              <w:rPr>
                                <w:sz w:val="24"/>
                                <w:szCs w:val="24"/>
                              </w:rPr>
                              <w:t>26.04.2024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8A1D52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1D52">
                        <w:rPr>
                          <w:sz w:val="24"/>
                          <w:szCs w:val="24"/>
                        </w:rPr>
                        <w:t>26.04.2024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9712FD" w:rsidP="008B4F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</w:t>
      </w:r>
      <w:r w:rsidR="009436F4">
        <w:rPr>
          <w:rFonts w:ascii="Times New Roman" w:hAnsi="Times New Roman"/>
          <w:sz w:val="24"/>
          <w:szCs w:val="24"/>
        </w:rPr>
        <w:t>роверка</w:t>
      </w:r>
      <w:r>
        <w:rPr>
          <w:rFonts w:ascii="Times New Roman" w:hAnsi="Times New Roman"/>
          <w:sz w:val="24"/>
          <w:szCs w:val="24"/>
        </w:rPr>
        <w:t xml:space="preserve"> бюджетной отчетности главного администратора бюджетных средст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 w:rsidR="009436F4">
        <w:rPr>
          <w:rFonts w:ascii="Times New Roman" w:hAnsi="Times New Roman"/>
          <w:sz w:val="24"/>
          <w:szCs w:val="24"/>
        </w:rPr>
        <w:t xml:space="preserve"> </w:t>
      </w:r>
      <w:r w:rsidR="00E57AB8">
        <w:rPr>
          <w:rFonts w:ascii="Times New Roman" w:hAnsi="Times New Roman"/>
          <w:sz w:val="24"/>
          <w:szCs w:val="24"/>
        </w:rPr>
        <w:t xml:space="preserve">Администрации Белозерского </w:t>
      </w:r>
      <w:r w:rsidR="008A1D52">
        <w:rPr>
          <w:rFonts w:ascii="Times New Roman" w:hAnsi="Times New Roman"/>
          <w:sz w:val="24"/>
          <w:szCs w:val="24"/>
        </w:rPr>
        <w:t>муниципального округа Вологодской области за 2023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37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E57AB8">
        <w:rPr>
          <w:rFonts w:ascii="Times New Roman" w:hAnsi="Times New Roman"/>
          <w:sz w:val="24"/>
          <w:szCs w:val="24"/>
        </w:rPr>
        <w:t xml:space="preserve"> </w:t>
      </w:r>
      <w:r w:rsidR="005E0510">
        <w:rPr>
          <w:rFonts w:ascii="Times New Roman" w:hAnsi="Times New Roman"/>
          <w:sz w:val="24"/>
          <w:szCs w:val="24"/>
        </w:rPr>
        <w:t xml:space="preserve">Белозерского муниципального </w:t>
      </w:r>
      <w:r w:rsidR="00E57AB8">
        <w:rPr>
          <w:rFonts w:ascii="Times New Roman" w:hAnsi="Times New Roman"/>
          <w:sz w:val="24"/>
          <w:szCs w:val="24"/>
        </w:rPr>
        <w:t>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8A1D52">
        <w:rPr>
          <w:rFonts w:ascii="Times New Roman" w:hAnsi="Times New Roman"/>
          <w:sz w:val="24"/>
          <w:szCs w:val="24"/>
        </w:rPr>
        <w:t>24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Pr="009F6358" w:rsidRDefault="009B128E" w:rsidP="00373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5E0510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3734A3">
        <w:rPr>
          <w:rFonts w:ascii="Times New Roman" w:hAnsi="Times New Roman"/>
          <w:bCs/>
          <w:sz w:val="24"/>
          <w:szCs w:val="24"/>
        </w:rPr>
        <w:t>22.03.2024 №9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8B4F6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33B2C">
        <w:rPr>
          <w:rFonts w:ascii="Times New Roman" w:hAnsi="Times New Roman"/>
          <w:sz w:val="24"/>
          <w:szCs w:val="24"/>
          <w:lang w:eastAsia="en-US"/>
        </w:rPr>
        <w:t>Администрации</w:t>
      </w:r>
      <w:r w:rsidR="003B45B3">
        <w:rPr>
          <w:rFonts w:ascii="Times New Roman" w:hAnsi="Times New Roman"/>
          <w:sz w:val="24"/>
          <w:szCs w:val="24"/>
          <w:lang w:eastAsia="en-US"/>
        </w:rPr>
        <w:t xml:space="preserve"> Бе</w:t>
      </w:r>
      <w:r w:rsidR="00B94682">
        <w:rPr>
          <w:rFonts w:ascii="Times New Roman" w:hAnsi="Times New Roman"/>
          <w:sz w:val="24"/>
          <w:szCs w:val="24"/>
          <w:lang w:eastAsia="en-US"/>
        </w:rPr>
        <w:t>лозерского муниципального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8B4F66" w:rsidRDefault="00B81D39" w:rsidP="008B4F66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2C13E4">
        <w:rPr>
          <w:sz w:val="24"/>
          <w:szCs w:val="24"/>
        </w:rPr>
        <w:t>27</w:t>
      </w:r>
      <w:r w:rsidR="00EC6038">
        <w:rPr>
          <w:sz w:val="24"/>
          <w:szCs w:val="24"/>
        </w:rPr>
        <w:t xml:space="preserve"> марта</w:t>
      </w:r>
      <w:r w:rsidR="00E16F69" w:rsidRPr="00E16F69">
        <w:rPr>
          <w:sz w:val="24"/>
          <w:szCs w:val="24"/>
        </w:rPr>
        <w:t xml:space="preserve"> по </w:t>
      </w:r>
      <w:r w:rsidR="002C13E4">
        <w:rPr>
          <w:sz w:val="24"/>
          <w:szCs w:val="24"/>
        </w:rPr>
        <w:t>26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2C13E4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B000D" w:rsidRPr="00AB000D" w:rsidRDefault="00AB000D" w:rsidP="00AB000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B000D">
        <w:rPr>
          <w:rFonts w:ascii="Times New Roman" w:hAnsi="Times New Roman"/>
          <w:sz w:val="24"/>
          <w:szCs w:val="24"/>
        </w:rPr>
        <w:t xml:space="preserve">Администрация Белозерского муниципального округа Вологодской области, ОГРН 1223500012086, ИНН 3503006117, адрес местонахождения: Вологодская </w:t>
      </w:r>
      <w:r w:rsidRPr="00AB000D">
        <w:rPr>
          <w:rFonts w:ascii="Times New Roman" w:hAnsi="Times New Roman"/>
          <w:bCs/>
          <w:sz w:val="24"/>
          <w:szCs w:val="24"/>
        </w:rPr>
        <w:t>область, г. Белозерск, ул. Фрунзе, д.35, оф.30</w:t>
      </w:r>
    </w:p>
    <w:p w:rsidR="00E31034" w:rsidRPr="005B192A" w:rsidRDefault="00E31034" w:rsidP="008B4F66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8B4F66" w:rsidRDefault="002C13E4" w:rsidP="008B4F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8B4F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8B4F66" w:rsidRDefault="00F83F6B" w:rsidP="008B4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</w:t>
      </w:r>
      <w:r w:rsidR="00EC6038">
        <w:rPr>
          <w:rFonts w:ascii="Times New Roman" w:hAnsi="Times New Roman"/>
          <w:sz w:val="24"/>
          <w:szCs w:val="24"/>
        </w:rPr>
        <w:t>лозерского муниципального округа</w:t>
      </w:r>
    </w:p>
    <w:p w:rsidR="00E31034" w:rsidRPr="008B4F66" w:rsidRDefault="00E31034" w:rsidP="008B4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3E4">
        <w:rPr>
          <w:rFonts w:ascii="Times New Roman" w:hAnsi="Times New Roman"/>
          <w:sz w:val="24"/>
          <w:szCs w:val="24"/>
        </w:rPr>
        <w:t>Бюджетный кодекс Российской Федерации (далее – Бюджетный кодекс).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3E4">
        <w:rPr>
          <w:rFonts w:ascii="Times New Roman" w:hAnsi="Times New Roman"/>
          <w:sz w:val="24"/>
          <w:szCs w:val="24"/>
        </w:rPr>
        <w:t>Федеральный закон от 06.12.2011 № 402-ФЗ  «О бухгалтерском учете».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3E4">
        <w:rPr>
          <w:rFonts w:ascii="Times New Roman" w:hAnsi="Times New Roman"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3E4">
        <w:rPr>
          <w:rFonts w:ascii="Times New Roman" w:hAnsi="Times New Roman"/>
          <w:sz w:val="24"/>
          <w:szCs w:val="24"/>
        </w:rPr>
        <w:t>Приказ Минфина РФ от 13.06.1995 № 49</w:t>
      </w:r>
      <w:r w:rsidRPr="002C13E4">
        <w:rPr>
          <w:rFonts w:ascii="Times New Roman" w:hAnsi="Times New Roman"/>
          <w:sz w:val="24"/>
          <w:szCs w:val="24"/>
        </w:rPr>
        <w:br/>
        <w:t>«Об утверждении методических указаний по инвентаризации имущества и</w:t>
      </w:r>
      <w:r w:rsidRPr="002C13E4">
        <w:rPr>
          <w:rFonts w:ascii="Times New Roman" w:hAnsi="Times New Roman"/>
          <w:sz w:val="24"/>
          <w:szCs w:val="24"/>
        </w:rPr>
        <w:br/>
      </w:r>
      <w:r w:rsidRPr="002C13E4">
        <w:rPr>
          <w:rFonts w:ascii="Times New Roman" w:hAnsi="Times New Roman"/>
          <w:sz w:val="24"/>
          <w:szCs w:val="24"/>
        </w:rPr>
        <w:lastRenderedPageBreak/>
        <w:t>финансовых обязательств».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3E4">
        <w:rPr>
          <w:rFonts w:ascii="Times New Roman" w:hAnsi="Times New Roman"/>
          <w:sz w:val="24"/>
          <w:szCs w:val="24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3E4">
        <w:rPr>
          <w:rFonts w:ascii="Times New Roman" w:hAnsi="Times New Roman"/>
          <w:sz w:val="24"/>
          <w:szCs w:val="24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3E4">
        <w:rPr>
          <w:rFonts w:ascii="Times New Roman" w:hAnsi="Times New Roman"/>
          <w:sz w:val="24"/>
          <w:szCs w:val="24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13E4">
        <w:rPr>
          <w:rFonts w:ascii="Times New Roman" w:hAnsi="Times New Roman"/>
          <w:bCs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2C13E4" w:rsidRPr="002C13E4" w:rsidRDefault="002C13E4" w:rsidP="002C13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13E4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CC02E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CC02EE" w:rsidRDefault="00E31034" w:rsidP="00CC02E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2C13E4">
        <w:rPr>
          <w:rFonts w:ascii="Times New Roman" w:hAnsi="Times New Roman"/>
          <w:sz w:val="24"/>
          <w:szCs w:val="24"/>
        </w:rPr>
        <w:t>26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2C13E4">
        <w:rPr>
          <w:rFonts w:ascii="Times New Roman" w:hAnsi="Times New Roman"/>
          <w:sz w:val="24"/>
          <w:szCs w:val="24"/>
        </w:rPr>
        <w:t>24</w:t>
      </w:r>
      <w:r w:rsidR="00EC6038">
        <w:rPr>
          <w:rFonts w:ascii="Times New Roman" w:hAnsi="Times New Roman"/>
          <w:sz w:val="24"/>
          <w:szCs w:val="24"/>
        </w:rPr>
        <w:t xml:space="preserve"> 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EC6038">
        <w:rPr>
          <w:rFonts w:ascii="Times New Roman" w:hAnsi="Times New Roman"/>
          <w:sz w:val="24"/>
          <w:szCs w:val="24"/>
        </w:rPr>
        <w:t>главой Белозерского муниципального округа</w:t>
      </w:r>
      <w:r w:rsidR="006C6F37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AF6A8D" w:rsidRPr="00AF6A8D" w:rsidRDefault="00AF6A8D" w:rsidP="00AF6A8D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F6A8D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AF6A8D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стороны должностных лиц администрации района не было, затребованные документы, относящиеся к тематике проверки, представлены в полном объеме.</w:t>
      </w:r>
    </w:p>
    <w:p w:rsidR="001030B2" w:rsidRPr="00CC02EE" w:rsidRDefault="00E31034" w:rsidP="00CC02EE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C11438" w:rsidRDefault="00D773A6" w:rsidP="00AF6A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C462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E71ACF">
        <w:rPr>
          <w:rFonts w:ascii="Times New Roman" w:hAnsi="Times New Roman"/>
          <w:bCs/>
          <w:sz w:val="24"/>
          <w:szCs w:val="24"/>
        </w:rPr>
        <w:t>873 993,3</w:t>
      </w:r>
      <w:r w:rsidR="00EC6038" w:rsidRPr="00EC6038">
        <w:rPr>
          <w:rFonts w:ascii="Times New Roman" w:hAnsi="Times New Roman"/>
          <w:bCs/>
          <w:sz w:val="24"/>
          <w:szCs w:val="24"/>
        </w:rPr>
        <w:t xml:space="preserve"> </w:t>
      </w:r>
      <w:r w:rsidR="00B520B4">
        <w:rPr>
          <w:rFonts w:ascii="Times New Roman" w:hAnsi="Times New Roman"/>
          <w:bCs/>
          <w:sz w:val="24"/>
          <w:szCs w:val="24"/>
        </w:rPr>
        <w:t>тыс. рублей</w:t>
      </w:r>
    </w:p>
    <w:p w:rsidR="00E521ED" w:rsidRPr="00AF6A8D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A8D">
        <w:rPr>
          <w:rFonts w:ascii="Times New Roman" w:hAnsi="Times New Roman"/>
          <w:sz w:val="24"/>
          <w:szCs w:val="24"/>
        </w:rPr>
        <w:t xml:space="preserve">      </w:t>
      </w:r>
      <w:r w:rsidR="00E31034" w:rsidRPr="00AF6A8D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AF6A8D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AF6A8D">
        <w:rPr>
          <w:rFonts w:ascii="Times New Roman" w:hAnsi="Times New Roman"/>
          <w:sz w:val="24"/>
          <w:szCs w:val="24"/>
        </w:rPr>
        <w:t xml:space="preserve">: </w:t>
      </w:r>
    </w:p>
    <w:p w:rsidR="00CB6948" w:rsidRPr="001848BE" w:rsidRDefault="00E521ED" w:rsidP="001848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1ED">
        <w:rPr>
          <w:rFonts w:ascii="Times New Roman" w:hAnsi="Times New Roman"/>
          <w:sz w:val="24"/>
          <w:szCs w:val="24"/>
        </w:rPr>
        <w:t>1.При подготовке и сдаче бюджетной отчетности 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5569DD" w:rsidRPr="005569DD" w:rsidRDefault="005569DD" w:rsidP="005569D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153 Инструкции № 191н в составе отчетности в разделе 5 «Прочие вопросы деятельности субъекта бюджетной отчетности» отражена информация по Таблице № 1 «Сведения о направлениях деятельности». Согласно пункту 153 Инструкции № 191н  в составе сводной Пояснительной записки (</w:t>
      </w:r>
      <w:hyperlink r:id="rId8" w:anchor="/document/12181732/entry/503160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) </w:t>
      </w:r>
      <w:hyperlink r:id="rId9" w:anchor="/document/12181732/entry/503160881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Таблица № 1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569DD" w:rsidRPr="005569DD" w:rsidRDefault="005569DD" w:rsidP="005569D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156 Инструкции № 191н в разделе 5 «Прочие вопросы деятельности субъекта бюджетной отчетности» отражена информация по Таблице № 4 «Сведения об особенностях ведения бюджетного учета». Согласно пункту 156 Инструкции №191н  в составе сводной Пояснительной записки (</w:t>
      </w:r>
      <w:hyperlink r:id="rId10" w:anchor="/document/12181732/entry/503160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569DD" w:rsidRPr="005569DD" w:rsidRDefault="005569DD" w:rsidP="005569D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lastRenderedPageBreak/>
        <w:t>В нарушение пункта 159.4 Инструкции №191н в составе отчетности представлена Таблица № 11 «Сведения об организационной структуре субъекта бюджетной отчетности». Согласно пункту159.4 Инструкции № 191н  в составе сводной Пояснительной записки (</w:t>
      </w:r>
      <w:hyperlink r:id="rId11" w:anchor="/document/12181732/entry/503160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) </w:t>
      </w:r>
      <w:hyperlink r:id="rId12" w:anchor="/document/12181732/entry/503160881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Таблица № 1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1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569DD" w:rsidRPr="005569DD" w:rsidRDefault="005569DD" w:rsidP="005569DD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159.5 Инструкции №191н в составе отчетности представлена Таблица № 12 «Сведения о результатах деятельности субъекта бюджетной отчетности». Согласно пункту159.5 Инструкции № 191н  в составе сводной Пояснительной записки (</w:t>
      </w:r>
      <w:hyperlink r:id="rId13" w:anchor="/document/12181732/entry/503160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) </w:t>
      </w:r>
      <w:hyperlink r:id="rId14" w:anchor="/document/12181732/entry/503160881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Таблица № 1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2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5569DD" w:rsidRPr="005569DD" w:rsidRDefault="005569DD" w:rsidP="005569DD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159.9 Инструкции №191н представлена таблица 16 «Прочие вопросы деятельности субъекта бюджетной отчетности». Согласно пункту 159.9 Инструкции №191н в составе  сводной пояснительной записки (</w:t>
      </w:r>
      <w:hyperlink r:id="rId15" w:anchor="/document/12181732/entry/503160" w:history="1">
        <w:r w:rsidRPr="005569DD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) таблица № 16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 </w:t>
      </w:r>
    </w:p>
    <w:p w:rsidR="005569DD" w:rsidRPr="005569DD" w:rsidRDefault="005569DD" w:rsidP="005569DD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5569DD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152 Инструкции 191н информация по ф. 0503190 «Сведения о вложениях в объекты недвижимого имущества, объектах незавершенного строительства» отражена в разделе 5 «Прочие вопросы деятельности субъекта бюджетной отчетности» пояснительной записки ф.0503160, тогда как  следует отражать в разделе 4 «Анализ показателей бухгалтерской отчетности субъекта бюджетной отчетности».</w:t>
      </w:r>
    </w:p>
    <w:p w:rsidR="005569DD" w:rsidRPr="005569DD" w:rsidRDefault="005569DD" w:rsidP="005569DD">
      <w:p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</w:p>
    <w:p w:rsidR="005569DD" w:rsidRPr="005569DD" w:rsidRDefault="001848BE" w:rsidP="005569DD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 w:cs="Calibri"/>
          <w:bCs/>
          <w:sz w:val="24"/>
          <w:szCs w:val="24"/>
          <w:lang w:eastAsia="en-US"/>
        </w:rPr>
        <w:t>2</w:t>
      </w:r>
      <w:r w:rsidR="005569DD" w:rsidRPr="005569DD">
        <w:rPr>
          <w:rFonts w:ascii="Times New Roman" w:hAnsi="Times New Roman" w:cs="Calibri"/>
          <w:bCs/>
          <w:sz w:val="24"/>
          <w:szCs w:val="24"/>
          <w:lang w:eastAsia="en-US"/>
        </w:rPr>
        <w:t>.В нарушение статьи 160.2-1 Бюджетного кодекса администрацией округа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  <w:r w:rsidR="005569DD" w:rsidRPr="005569DD">
        <w:rPr>
          <w:rFonts w:ascii="Times New Roman" w:hAnsi="Times New Roman"/>
          <w:sz w:val="24"/>
          <w:szCs w:val="24"/>
        </w:rPr>
        <w:t xml:space="preserve"> </w:t>
      </w:r>
      <w:r w:rsidR="005569DD" w:rsidRPr="005569DD">
        <w:rPr>
          <w:rFonts w:ascii="Times New Roman" w:hAnsi="Times New Roman" w:cs="Calibri"/>
          <w:bCs/>
          <w:sz w:val="24"/>
          <w:szCs w:val="24"/>
          <w:lang w:eastAsia="en-US"/>
        </w:rPr>
        <w:t>Таким образом, в нарушении статьи 160.2-1 БК РФ и федеральных стандартов внутренний финансовый аудит администрацией округа не осуществляется.</w:t>
      </w:r>
      <w:r w:rsidR="005569DD" w:rsidRPr="005569DD">
        <w:rPr>
          <w:rFonts w:ascii="Times New Roman" w:hAnsi="Times New Roman" w:cs="Calibri"/>
          <w:b/>
          <w:bCs/>
          <w:i/>
          <w:sz w:val="24"/>
          <w:szCs w:val="24"/>
          <w:lang w:eastAsia="en-US"/>
        </w:rPr>
        <w:t xml:space="preserve"> </w:t>
      </w:r>
    </w:p>
    <w:p w:rsidR="005569DD" w:rsidRDefault="001848BE" w:rsidP="00A766D1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Calibri"/>
          <w:bCs/>
          <w:sz w:val="24"/>
          <w:szCs w:val="24"/>
          <w:lang w:eastAsia="en-US"/>
        </w:rPr>
        <w:t>3</w:t>
      </w:r>
      <w:r w:rsidR="005569DD" w:rsidRPr="005569DD">
        <w:rPr>
          <w:rFonts w:ascii="Times New Roman" w:hAnsi="Times New Roman" w:cs="Calibri"/>
          <w:bCs/>
          <w:sz w:val="24"/>
          <w:szCs w:val="24"/>
          <w:lang w:eastAsia="en-US"/>
        </w:rPr>
        <w:t>.Согласно данным формы 0503123 «Отчет о движении денежных средств» администрацией округа в 2023 году произведена уплата штрафов за нарушения законодательства о налогах и сборах, законодательства о страховых взносах в сумме 2,37 рублей, уплата штрафов за нарушение законодательства о закупках и нарушение условий контрактов (договоров) в сумме 11 956,07 рублей, штрафные санкции в сумме 1 112 500,00 рублей, в чем</w:t>
      </w:r>
      <w:proofErr w:type="gramEnd"/>
      <w:r w:rsidR="005569DD" w:rsidRPr="005569DD">
        <w:rPr>
          <w:rFonts w:ascii="Times New Roman" w:hAnsi="Times New Roman" w:cs="Calibri"/>
          <w:bCs/>
          <w:sz w:val="24"/>
          <w:szCs w:val="24"/>
          <w:lang w:eastAsia="en-US"/>
        </w:rPr>
        <w:t xml:space="preserve"> усматривается нарушение статьи 34 Бюджетного Кодекса РФ и свидетельствует о неэффективном использовании средств бюджета округа.</w:t>
      </w:r>
    </w:p>
    <w:p w:rsidR="00A766D1" w:rsidRPr="00A766D1" w:rsidRDefault="00A766D1" w:rsidP="00A766D1">
      <w:pPr>
        <w:suppressAutoHyphens/>
        <w:autoSpaceDN w:val="0"/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6C6037" w:rsidRDefault="00E31034" w:rsidP="006C6037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  <w:r w:rsidR="0086017F">
        <w:rPr>
          <w:rFonts w:ascii="Times New Roman" w:hAnsi="Times New Roman"/>
          <w:sz w:val="24"/>
          <w:szCs w:val="24"/>
        </w:rPr>
        <w:t xml:space="preserve">         </w:t>
      </w: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976"/>
      </w:tblGrid>
      <w:tr w:rsidR="00E31034" w:rsidRPr="005B192A" w:rsidTr="00CC02EE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CC02EE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CC02EE">
        <w:trPr>
          <w:trHeight w:val="59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rPr>
          <w:trHeight w:val="84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2C16D5" w:rsidP="00DD2C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FC4847" w:rsidP="00FC4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CC02EE" w:rsidRPr="00CC02EE">
              <w:rPr>
                <w:rFonts w:ascii="Times New Roman" w:hAnsi="Times New Roman"/>
                <w:bCs/>
              </w:rPr>
              <w:t>арушение статьи 34 БК РФ</w:t>
            </w:r>
          </w:p>
          <w:p w:rsidR="00FC4847" w:rsidRDefault="00FC4847" w:rsidP="00FC4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C4847" w:rsidRDefault="00FC4847" w:rsidP="00FC4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Уплата пени и штрафов-</w:t>
            </w:r>
          </w:p>
          <w:p w:rsidR="00FC4847" w:rsidRPr="00952103" w:rsidRDefault="002C16D5" w:rsidP="00FC484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1 124,4</w:t>
            </w:r>
            <w:r w:rsidR="00FC4847">
              <w:rPr>
                <w:rFonts w:ascii="Times New Roman" w:hAnsi="Times New Roman"/>
                <w:bCs/>
              </w:rPr>
              <w:t xml:space="preserve"> тыс. рублей</w:t>
            </w:r>
          </w:p>
        </w:tc>
      </w:tr>
      <w:tr w:rsidR="00E31034" w:rsidRPr="005B192A" w:rsidTr="00CC02EE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CC02EE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Pr="00952103" w:rsidRDefault="007E6956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Pr="00952103" w:rsidRDefault="00BE45A7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CC02EE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7E6956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7E6956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56" w:rsidRDefault="007E6956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Ст.160.2-1 </w:t>
            </w:r>
          </w:p>
          <w:p w:rsidR="000755BF" w:rsidRPr="00952103" w:rsidRDefault="007E6956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Бюджетного кодекса РФ</w:t>
            </w:r>
          </w:p>
        </w:tc>
      </w:tr>
      <w:tr w:rsidR="00E31034" w:rsidRPr="005B192A" w:rsidTr="00CC02EE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7E6956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D4435B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B256D2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proofErr w:type="gramStart"/>
      <w:r w:rsidRPr="005B192A">
        <w:rPr>
          <w:rFonts w:ascii="Times New Roman" w:hAnsi="Times New Roman"/>
          <w:sz w:val="24"/>
          <w:szCs w:val="24"/>
        </w:rPr>
        <w:t>:</w:t>
      </w:r>
      <w:r w:rsidR="00B256D2">
        <w:rPr>
          <w:rFonts w:ascii="Times New Roman" w:hAnsi="Times New Roman"/>
          <w:sz w:val="24"/>
          <w:szCs w:val="24"/>
        </w:rPr>
        <w:t>Н</w:t>
      </w:r>
      <w:proofErr w:type="gramEnd"/>
      <w:r w:rsidR="00B256D2">
        <w:rPr>
          <w:rFonts w:ascii="Times New Roman" w:hAnsi="Times New Roman"/>
          <w:sz w:val="24"/>
          <w:szCs w:val="24"/>
        </w:rPr>
        <w:t>ет</w:t>
      </w:r>
    </w:p>
    <w:p w:rsidR="00B256D2" w:rsidRPr="00B256D2" w:rsidRDefault="00B256D2" w:rsidP="00363E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56D2">
        <w:rPr>
          <w:rFonts w:ascii="Times New Roman" w:hAnsi="Times New Roman"/>
          <w:b/>
          <w:sz w:val="24"/>
          <w:szCs w:val="24"/>
        </w:rPr>
        <w:t>Другие предложения:</w:t>
      </w:r>
    </w:p>
    <w:p w:rsidR="00D4435B" w:rsidRPr="00D4435B" w:rsidRDefault="00D4435B" w:rsidP="00D4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35B">
        <w:rPr>
          <w:rFonts w:ascii="Times New Roman" w:hAnsi="Times New Roman"/>
          <w:sz w:val="24"/>
          <w:szCs w:val="24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4435B" w:rsidRPr="00D4435B" w:rsidRDefault="00D4435B" w:rsidP="00D4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35B">
        <w:rPr>
          <w:rFonts w:ascii="Times New Roman" w:hAnsi="Times New Roman"/>
          <w:sz w:val="24"/>
          <w:szCs w:val="24"/>
        </w:rPr>
        <w:t>2.В целях повышения качества предоставляемой бюджетной отчетности не допускать неэффективного использования бюджетных средств.</w:t>
      </w:r>
    </w:p>
    <w:p w:rsidR="00D4435B" w:rsidRPr="00D4435B" w:rsidRDefault="00D4435B" w:rsidP="00D4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35B">
        <w:rPr>
          <w:rFonts w:ascii="Times New Roman" w:hAnsi="Times New Roman"/>
          <w:sz w:val="24"/>
          <w:szCs w:val="24"/>
        </w:rPr>
        <w:t xml:space="preserve">3. В соответствии со статьей  </w:t>
      </w:r>
      <w:r w:rsidRPr="00D4435B">
        <w:rPr>
          <w:rFonts w:ascii="Times New Roman" w:hAnsi="Times New Roman"/>
          <w:bCs/>
          <w:sz w:val="24"/>
          <w:szCs w:val="24"/>
        </w:rPr>
        <w:t xml:space="preserve">160.2-1 Бюджетного кодекса РФ  обеспечить осуществление внутреннего финансового аудита на основании федеральных стандартов. </w:t>
      </w:r>
    </w:p>
    <w:p w:rsidR="00D4435B" w:rsidRPr="00D4435B" w:rsidRDefault="00D4435B" w:rsidP="00D44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35B">
        <w:rPr>
          <w:rFonts w:ascii="Times New Roman" w:hAnsi="Times New Roman"/>
          <w:sz w:val="24"/>
          <w:szCs w:val="24"/>
        </w:rPr>
        <w:t>4.Информацию по выполнению предложений представить в контрольно-счетную комиссию округа до 31 мая 2024 года.</w:t>
      </w:r>
    </w:p>
    <w:p w:rsidR="00D4435B" w:rsidRPr="00383D32" w:rsidRDefault="00D4435B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4F588C" w:rsidRDefault="004F588C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3D32" w:rsidRDefault="00E31034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C6038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31034" w:rsidRPr="006C6037" w:rsidRDefault="00383D32" w:rsidP="006C60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EC6038">
        <w:rPr>
          <w:rFonts w:ascii="Times New Roman" w:hAnsi="Times New Roman"/>
          <w:sz w:val="24"/>
          <w:szCs w:val="24"/>
        </w:rPr>
        <w:t xml:space="preserve"> округа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6C6037">
        <w:rPr>
          <w:rFonts w:ascii="Times New Roman" w:hAnsi="Times New Roman"/>
          <w:sz w:val="24"/>
          <w:szCs w:val="24"/>
        </w:rPr>
        <w:t>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FAF691A"/>
    <w:multiLevelType w:val="hybridMultilevel"/>
    <w:tmpl w:val="8866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6671B"/>
    <w:multiLevelType w:val="hybridMultilevel"/>
    <w:tmpl w:val="BADC0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271"/>
    <w:multiLevelType w:val="hybridMultilevel"/>
    <w:tmpl w:val="C840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9">
    <w:nsid w:val="7FB21D9C"/>
    <w:multiLevelType w:val="hybridMultilevel"/>
    <w:tmpl w:val="9A58B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6"/>
  </w:num>
  <w:num w:numId="9">
    <w:abstractNumId w:val="21"/>
  </w:num>
  <w:num w:numId="10">
    <w:abstractNumId w:val="7"/>
  </w:num>
  <w:num w:numId="11">
    <w:abstractNumId w:val="13"/>
  </w:num>
  <w:num w:numId="12">
    <w:abstractNumId w:val="19"/>
  </w:num>
  <w:num w:numId="13">
    <w:abstractNumId w:val="4"/>
  </w:num>
  <w:num w:numId="14">
    <w:abstractNumId w:val="8"/>
  </w:num>
  <w:num w:numId="15">
    <w:abstractNumId w:val="23"/>
  </w:num>
  <w:num w:numId="16">
    <w:abstractNumId w:val="28"/>
  </w:num>
  <w:num w:numId="17">
    <w:abstractNumId w:val="16"/>
  </w:num>
  <w:num w:numId="18">
    <w:abstractNumId w:val="27"/>
  </w:num>
  <w:num w:numId="19">
    <w:abstractNumId w:val="2"/>
  </w:num>
  <w:num w:numId="20">
    <w:abstractNumId w:val="18"/>
  </w:num>
  <w:num w:numId="21">
    <w:abstractNumId w:val="15"/>
  </w:num>
  <w:num w:numId="22">
    <w:abstractNumId w:val="25"/>
  </w:num>
  <w:num w:numId="23">
    <w:abstractNumId w:val="22"/>
  </w:num>
  <w:num w:numId="24">
    <w:abstractNumId w:val="26"/>
  </w:num>
  <w:num w:numId="25">
    <w:abstractNumId w:val="11"/>
  </w:num>
  <w:num w:numId="26">
    <w:abstractNumId w:val="5"/>
  </w:num>
  <w:num w:numId="27">
    <w:abstractNumId w:val="29"/>
  </w:num>
  <w:num w:numId="28">
    <w:abstractNumId w:val="24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48BE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13E4"/>
    <w:rsid w:val="002C16D5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385"/>
    <w:rsid w:val="003734A3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88C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69DD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510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28AD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037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6956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3B2C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D52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B4F66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22C1"/>
    <w:rsid w:val="0096651B"/>
    <w:rsid w:val="00966BF4"/>
    <w:rsid w:val="00970307"/>
    <w:rsid w:val="009712FD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6358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1CFE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67E0E"/>
    <w:rsid w:val="00A70746"/>
    <w:rsid w:val="00A70CBA"/>
    <w:rsid w:val="00A72125"/>
    <w:rsid w:val="00A766D1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0D"/>
    <w:rsid w:val="00AB00CA"/>
    <w:rsid w:val="00AC1A9C"/>
    <w:rsid w:val="00AC1BA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AF6A8D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256D2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20B4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46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2B7D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2EE"/>
    <w:rsid w:val="00CC0517"/>
    <w:rsid w:val="00CC0DA1"/>
    <w:rsid w:val="00CD7F6E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4435B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21ED"/>
    <w:rsid w:val="00E53F97"/>
    <w:rsid w:val="00E5468E"/>
    <w:rsid w:val="00E56DC2"/>
    <w:rsid w:val="00E57AB8"/>
    <w:rsid w:val="00E601F2"/>
    <w:rsid w:val="00E61F87"/>
    <w:rsid w:val="00E6315A"/>
    <w:rsid w:val="00E644E1"/>
    <w:rsid w:val="00E64517"/>
    <w:rsid w:val="00E65643"/>
    <w:rsid w:val="00E669F1"/>
    <w:rsid w:val="00E671AC"/>
    <w:rsid w:val="00E71ACF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C4625"/>
    <w:rsid w:val="00EC6038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4847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4D7F-10C0-4D8E-9872-F40AFD59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65</cp:revision>
  <cp:lastPrinted>2021-06-02T08:25:00Z</cp:lastPrinted>
  <dcterms:created xsi:type="dcterms:W3CDTF">2021-06-02T06:01:00Z</dcterms:created>
  <dcterms:modified xsi:type="dcterms:W3CDTF">2024-06-06T07:39:00Z</dcterms:modified>
</cp:coreProperties>
</file>