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Default="000943F0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</w:t>
      </w:r>
      <w:r w:rsidR="000F02C3"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0F02C3" w:rsidRPr="00E10BE8" w:rsidRDefault="000F02C3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</w:t>
            </w:r>
            <w:r w:rsidR="00E043B2">
              <w:rPr>
                <w:rFonts w:ascii="Times New Roman" w:hAnsi="Times New Roman"/>
              </w:rPr>
              <w:t>лозерского муниципального округа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0F0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8B1DFC">
              <w:rPr>
                <w:rFonts w:ascii="Times New Roman" w:hAnsi="Times New Roman"/>
              </w:rPr>
              <w:t>«09</w:t>
            </w:r>
            <w:r w:rsidRPr="00BA5E24">
              <w:rPr>
                <w:rFonts w:ascii="Times New Roman" w:hAnsi="Times New Roman"/>
              </w:rPr>
              <w:t>»</w:t>
            </w:r>
            <w:r w:rsidR="00901277">
              <w:rPr>
                <w:rFonts w:ascii="Times New Roman" w:hAnsi="Times New Roman"/>
              </w:rPr>
              <w:t xml:space="preserve"> </w:t>
            </w:r>
            <w:r w:rsidR="00C518AD">
              <w:rPr>
                <w:rFonts w:ascii="Times New Roman" w:hAnsi="Times New Roman"/>
              </w:rPr>
              <w:t>апреля  2024</w:t>
            </w:r>
            <w:r w:rsidR="00901277">
              <w:rPr>
                <w:rFonts w:ascii="Times New Roman" w:hAnsi="Times New Roman"/>
              </w:rPr>
              <w:t xml:space="preserve">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B6" w:rsidRDefault="00D46D91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3754B6" w:rsidRDefault="00D46D91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DFC">
                              <w:rPr>
                                <w:sz w:val="24"/>
                                <w:szCs w:val="24"/>
                              </w:rPr>
                              <w:t>09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0F0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843C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1DFC">
                        <w:rPr>
                          <w:sz w:val="24"/>
                          <w:szCs w:val="24"/>
                        </w:rPr>
                        <w:t>09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0F02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843C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36F4" w:rsidRPr="0008306B" w:rsidRDefault="0000508A" w:rsidP="00B31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бюджетной отчетности главного администратора бюджетных средств </w:t>
      </w:r>
      <w:r w:rsidR="000F02C3">
        <w:rPr>
          <w:rFonts w:ascii="Times New Roman" w:hAnsi="Times New Roman"/>
          <w:sz w:val="24"/>
          <w:szCs w:val="24"/>
        </w:rPr>
        <w:t>–</w:t>
      </w:r>
      <w:r w:rsidR="009436F4">
        <w:rPr>
          <w:rFonts w:ascii="Times New Roman" w:hAnsi="Times New Roman"/>
          <w:sz w:val="24"/>
          <w:szCs w:val="24"/>
        </w:rPr>
        <w:t xml:space="preserve"> </w:t>
      </w:r>
      <w:r w:rsidR="000F02C3">
        <w:rPr>
          <w:rFonts w:ascii="Times New Roman" w:hAnsi="Times New Roman"/>
          <w:sz w:val="24"/>
          <w:szCs w:val="24"/>
        </w:rPr>
        <w:t>Представительного Собрания</w:t>
      </w:r>
      <w:r w:rsidR="00741CEE">
        <w:rPr>
          <w:rFonts w:ascii="Times New Roman" w:hAnsi="Times New Roman"/>
          <w:sz w:val="24"/>
          <w:szCs w:val="24"/>
        </w:rPr>
        <w:t xml:space="preserve"> Бе</w:t>
      </w:r>
      <w:r w:rsidR="000F02C3">
        <w:rPr>
          <w:rFonts w:ascii="Times New Roman" w:hAnsi="Times New Roman"/>
          <w:sz w:val="24"/>
          <w:szCs w:val="24"/>
        </w:rPr>
        <w:t>лозерского муниципального округа Вологодской области</w:t>
      </w:r>
      <w:r w:rsidR="00AF2B1C">
        <w:rPr>
          <w:rFonts w:ascii="Times New Roman" w:hAnsi="Times New Roman"/>
          <w:sz w:val="24"/>
          <w:szCs w:val="24"/>
        </w:rPr>
        <w:t xml:space="preserve"> </w:t>
      </w:r>
      <w:r w:rsidR="005C22DC">
        <w:rPr>
          <w:rFonts w:ascii="Times New Roman" w:hAnsi="Times New Roman"/>
          <w:sz w:val="24"/>
          <w:szCs w:val="24"/>
        </w:rPr>
        <w:t xml:space="preserve"> за 2023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5C2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0F02C3">
        <w:rPr>
          <w:rFonts w:ascii="Times New Roman" w:hAnsi="Times New Roman"/>
          <w:sz w:val="24"/>
          <w:szCs w:val="24"/>
        </w:rPr>
        <w:t xml:space="preserve"> </w:t>
      </w:r>
      <w:r w:rsidR="005C22DC">
        <w:rPr>
          <w:rFonts w:ascii="Times New Roman" w:hAnsi="Times New Roman"/>
          <w:sz w:val="24"/>
          <w:szCs w:val="24"/>
        </w:rPr>
        <w:t xml:space="preserve">Белозерского муниципального </w:t>
      </w:r>
      <w:r w:rsidR="000F02C3">
        <w:rPr>
          <w:rFonts w:ascii="Times New Roman" w:hAnsi="Times New Roman"/>
          <w:sz w:val="24"/>
          <w:szCs w:val="24"/>
        </w:rPr>
        <w:t>округа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5C22DC">
        <w:rPr>
          <w:rFonts w:ascii="Times New Roman" w:hAnsi="Times New Roman"/>
          <w:sz w:val="24"/>
          <w:szCs w:val="24"/>
        </w:rPr>
        <w:t>24 год</w:t>
      </w:r>
    </w:p>
    <w:p w:rsidR="00C502F3" w:rsidRDefault="009B128E" w:rsidP="005C2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</w:t>
      </w:r>
      <w:r w:rsidR="000F02C3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C502F3" w:rsidRPr="00C502F3">
        <w:rPr>
          <w:rFonts w:ascii="Times New Roman" w:hAnsi="Times New Roman"/>
          <w:sz w:val="24"/>
          <w:szCs w:val="24"/>
        </w:rPr>
        <w:t xml:space="preserve"> от </w:t>
      </w:r>
      <w:r w:rsidR="005C22DC"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5C22DC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5C22DC">
        <w:rPr>
          <w:rFonts w:ascii="Times New Roman" w:hAnsi="Times New Roman"/>
          <w:sz w:val="24"/>
          <w:szCs w:val="24"/>
        </w:rPr>
        <w:t>24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5C22DC">
        <w:rPr>
          <w:rFonts w:ascii="Times New Roman" w:hAnsi="Times New Roman"/>
          <w:sz w:val="24"/>
          <w:szCs w:val="24"/>
        </w:rPr>
        <w:t xml:space="preserve"> 10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594AA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F02C3">
        <w:rPr>
          <w:rFonts w:ascii="Times New Roman" w:hAnsi="Times New Roman"/>
          <w:sz w:val="24"/>
          <w:szCs w:val="24"/>
          <w:lang w:eastAsia="en-US"/>
        </w:rPr>
        <w:t>Представительного Собрания Белозерского  муниципального округа Вологодской области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D0A92" w:rsidRPr="00594AA5" w:rsidRDefault="00B81D39" w:rsidP="00594AA5">
      <w:pPr>
        <w:pStyle w:val="11"/>
        <w:tabs>
          <w:tab w:val="left" w:pos="284"/>
        </w:tabs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CD3016">
        <w:rPr>
          <w:sz w:val="24"/>
          <w:szCs w:val="24"/>
        </w:rPr>
        <w:t>27 марта 2024</w:t>
      </w:r>
      <w:r w:rsidR="00B3152D">
        <w:rPr>
          <w:sz w:val="24"/>
          <w:szCs w:val="24"/>
        </w:rPr>
        <w:t xml:space="preserve"> года </w:t>
      </w:r>
      <w:r w:rsidR="00E16F69" w:rsidRPr="00E16F69">
        <w:rPr>
          <w:sz w:val="24"/>
          <w:szCs w:val="24"/>
        </w:rPr>
        <w:t xml:space="preserve"> по </w:t>
      </w:r>
      <w:r w:rsidR="00CD3016">
        <w:rPr>
          <w:sz w:val="24"/>
          <w:szCs w:val="24"/>
        </w:rPr>
        <w:t>09</w:t>
      </w:r>
      <w:r w:rsidR="00F83F6B">
        <w:rPr>
          <w:sz w:val="24"/>
          <w:szCs w:val="24"/>
        </w:rPr>
        <w:t xml:space="preserve"> </w:t>
      </w:r>
      <w:r w:rsidR="00B3152D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CD3016">
        <w:rPr>
          <w:sz w:val="24"/>
          <w:szCs w:val="24"/>
        </w:rPr>
        <w:t>24</w:t>
      </w:r>
      <w:r w:rsidR="00E16F69" w:rsidRPr="00E16F69">
        <w:rPr>
          <w:sz w:val="24"/>
          <w:szCs w:val="24"/>
        </w:rPr>
        <w:t xml:space="preserve"> года </w:t>
      </w:r>
    </w:p>
    <w:p w:rsidR="00E31034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594AA5" w:rsidRPr="00594AA5" w:rsidRDefault="00500A7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Представительное Собрание</w:t>
      </w:r>
      <w:r w:rsidR="00594AA5" w:rsidRPr="00594AA5">
        <w:rPr>
          <w:rFonts w:ascii="Times New Roman" w:hAnsi="Times New Roman"/>
          <w:sz w:val="24"/>
          <w:szCs w:val="24"/>
        </w:rPr>
        <w:t xml:space="preserve"> Белозерского муниципального округа Вологодской области  </w:t>
      </w:r>
    </w:p>
    <w:p w:rsidR="00E31034" w:rsidRPr="005B192A" w:rsidRDefault="00E31034" w:rsidP="00594AA5">
      <w:pPr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CD3016" w:rsidP="00594A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22263" w:rsidRPr="00594AA5" w:rsidRDefault="00F83F6B" w:rsidP="00594A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</w:t>
      </w:r>
      <w:r w:rsidR="00594AA5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017177" w:rsidRDefault="00E31034" w:rsidP="000171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017177" w:rsidRPr="00017177" w:rsidRDefault="00017177" w:rsidP="0001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717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Бюджетный кодекс Российской Федерации (далее – Бюджетный кодекс).</w:t>
      </w:r>
    </w:p>
    <w:p w:rsidR="00017177" w:rsidRPr="00017177" w:rsidRDefault="00017177" w:rsidP="0001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717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Федеральный закон от 06.12.2011 № 402-ФЗ  «О бухгалтерском учете».</w:t>
      </w:r>
    </w:p>
    <w:p w:rsidR="00017177" w:rsidRPr="00017177" w:rsidRDefault="00017177" w:rsidP="0001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717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017177" w:rsidRPr="00017177" w:rsidRDefault="00017177" w:rsidP="0001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717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13.06.1995 № 49</w:t>
      </w:r>
      <w:r w:rsidRPr="00017177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«Об утверждении методических указаний по инвентаризации имущества и</w:t>
      </w:r>
      <w:r w:rsidRPr="00017177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финансовых обязательств».</w:t>
      </w:r>
    </w:p>
    <w:p w:rsidR="00017177" w:rsidRPr="00017177" w:rsidRDefault="00017177" w:rsidP="0001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717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Приказ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017177" w:rsidRPr="00017177" w:rsidRDefault="00017177" w:rsidP="0001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717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Приказ Минфина РФ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017177" w:rsidRPr="00017177" w:rsidRDefault="00017177" w:rsidP="0001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717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Распоряжение главы Белозерского муниципального округа от 18.01.2023 № 3 «Об утверждении Положения по Единой учетной политике органов местного самоуправления, органов администрации и муниципальных учреждений Белозерского муниципального округа Вологодской области».</w:t>
      </w:r>
    </w:p>
    <w:p w:rsidR="00017177" w:rsidRPr="00017177" w:rsidRDefault="00017177" w:rsidP="000171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7177">
        <w:rPr>
          <w:rFonts w:ascii="Times New Roman" w:hAnsi="Times New Roman"/>
          <w:bCs/>
          <w:color w:val="000000"/>
          <w:sz w:val="24"/>
          <w:szCs w:val="24"/>
        </w:rPr>
        <w:t>Решение Представительного Собрания Белозерского муниципального округа от 26.12.2022 № 103  «О бюджете округа на 2023 год и плановый период 2024 и 2025 годов» (далее – Решение о бюджете); сводная бюджетная роспись, кассовый план.</w:t>
      </w:r>
    </w:p>
    <w:p w:rsidR="00017177" w:rsidRPr="00017177" w:rsidRDefault="00017177" w:rsidP="000171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7177">
        <w:rPr>
          <w:rFonts w:ascii="Times New Roman" w:hAnsi="Times New Roman"/>
          <w:bCs/>
          <w:color w:val="000000"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E31034" w:rsidRPr="005B192A" w:rsidRDefault="00E31034" w:rsidP="009272EB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9272EB">
      <w:pPr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017177">
        <w:rPr>
          <w:rFonts w:ascii="Times New Roman" w:hAnsi="Times New Roman"/>
          <w:sz w:val="24"/>
          <w:szCs w:val="24"/>
        </w:rPr>
        <w:t>09</w:t>
      </w:r>
      <w:r w:rsidR="000C15A0">
        <w:rPr>
          <w:rFonts w:ascii="Times New Roman" w:hAnsi="Times New Roman"/>
          <w:sz w:val="24"/>
          <w:szCs w:val="24"/>
        </w:rPr>
        <w:t>.0</w:t>
      </w:r>
      <w:r w:rsidR="009272EB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017177">
        <w:rPr>
          <w:rFonts w:ascii="Times New Roman" w:hAnsi="Times New Roman"/>
          <w:sz w:val="24"/>
          <w:szCs w:val="24"/>
        </w:rPr>
        <w:t>24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0B69BD" w:rsidRPr="000B69BD" w:rsidRDefault="000B69BD" w:rsidP="000B69BD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0B69BD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работе:</w:t>
      </w:r>
      <w:r w:rsidRPr="000B69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B69BD">
        <w:rPr>
          <w:rFonts w:ascii="Times New Roman" w:hAnsi="Times New Roman"/>
          <w:sz w:val="24"/>
          <w:szCs w:val="24"/>
        </w:rPr>
        <w:t>Отказов в предоставлении документов или иных фактов препятствования в работе со стороны должностных лиц Представительного Собрания округа не было, затребованные документы, относящиеся к тематике проверки, представлены в полном объеме.</w:t>
      </w:r>
    </w:p>
    <w:p w:rsidR="001030B2" w:rsidRPr="009272EB" w:rsidRDefault="00E31034" w:rsidP="009272EB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1030B2" w:rsidRPr="009272EB" w:rsidRDefault="00D773A6" w:rsidP="009272EB">
      <w:pPr>
        <w:ind w:firstLine="360"/>
        <w:rPr>
          <w:rFonts w:ascii="Times New Roman" w:hAnsi="Times New Roman"/>
          <w:bCs/>
          <w:szCs w:val="24"/>
        </w:rPr>
      </w:pPr>
      <w:r w:rsidRPr="009272EB">
        <w:rPr>
          <w:rFonts w:ascii="Times New Roman" w:hAnsi="Times New Roman"/>
          <w:sz w:val="24"/>
          <w:szCs w:val="24"/>
        </w:rPr>
        <w:t>20</w:t>
      </w:r>
      <w:r w:rsidR="006160DB">
        <w:rPr>
          <w:rFonts w:ascii="Times New Roman" w:hAnsi="Times New Roman"/>
          <w:sz w:val="24"/>
          <w:szCs w:val="24"/>
        </w:rPr>
        <w:t>23</w:t>
      </w:r>
      <w:r w:rsidRPr="009272EB">
        <w:rPr>
          <w:rFonts w:ascii="Times New Roman" w:hAnsi="Times New Roman"/>
          <w:sz w:val="24"/>
          <w:szCs w:val="24"/>
        </w:rPr>
        <w:t xml:space="preserve"> год </w:t>
      </w:r>
      <w:r w:rsidR="008435C2" w:rsidRPr="009272EB">
        <w:rPr>
          <w:rFonts w:ascii="Times New Roman" w:hAnsi="Times New Roman"/>
          <w:sz w:val="24"/>
          <w:szCs w:val="24"/>
        </w:rPr>
        <w:t>–</w:t>
      </w:r>
      <w:r w:rsidR="00C11438" w:rsidRPr="009272EB">
        <w:rPr>
          <w:rFonts w:ascii="Times New Roman" w:hAnsi="Times New Roman"/>
          <w:sz w:val="24"/>
          <w:szCs w:val="24"/>
        </w:rPr>
        <w:t xml:space="preserve"> </w:t>
      </w:r>
      <w:r w:rsidR="006160DB">
        <w:rPr>
          <w:rFonts w:ascii="Times New Roman" w:hAnsi="Times New Roman"/>
          <w:bCs/>
          <w:szCs w:val="24"/>
        </w:rPr>
        <w:t>5 505,0</w:t>
      </w:r>
      <w:r w:rsidR="009272EB" w:rsidRPr="009272EB">
        <w:rPr>
          <w:rFonts w:ascii="Times New Roman" w:hAnsi="Times New Roman"/>
          <w:b/>
          <w:bCs/>
          <w:szCs w:val="24"/>
        </w:rPr>
        <w:t xml:space="preserve"> </w:t>
      </w:r>
      <w:r w:rsidR="009272EB" w:rsidRPr="009272EB">
        <w:rPr>
          <w:rFonts w:ascii="Times New Roman" w:hAnsi="Times New Roman"/>
          <w:bCs/>
          <w:szCs w:val="24"/>
        </w:rPr>
        <w:t>тыс. рублей</w:t>
      </w:r>
    </w:p>
    <w:p w:rsidR="00E31034" w:rsidRPr="007267CC" w:rsidRDefault="00D56ED6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7267CC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267CC">
        <w:rPr>
          <w:rFonts w:ascii="Times New Roman" w:hAnsi="Times New Roman"/>
          <w:sz w:val="24"/>
          <w:szCs w:val="24"/>
        </w:rPr>
        <w:t>следующие нарушения</w:t>
      </w:r>
      <w:r w:rsidR="00E31034" w:rsidRPr="007267CC">
        <w:rPr>
          <w:rFonts w:ascii="Times New Roman" w:hAnsi="Times New Roman"/>
          <w:sz w:val="24"/>
          <w:szCs w:val="24"/>
        </w:rPr>
        <w:t xml:space="preserve">: </w:t>
      </w:r>
    </w:p>
    <w:p w:rsidR="006A1D90" w:rsidRPr="007267CC" w:rsidRDefault="006A1D90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3D7" w:rsidRPr="009272EB" w:rsidRDefault="008B23D7" w:rsidP="009272EB">
      <w:pPr>
        <w:numPr>
          <w:ilvl w:val="0"/>
          <w:numId w:val="26"/>
        </w:num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B23D7">
        <w:rPr>
          <w:rFonts w:ascii="Times New Roman" w:hAnsi="Times New Roman"/>
          <w:iCs/>
          <w:sz w:val="24"/>
          <w:szCs w:val="24"/>
        </w:rPr>
        <w:t xml:space="preserve">При анализе представленной годовой отчетности установлено отступление от требований </w:t>
      </w:r>
      <w:r w:rsidR="009272EB" w:rsidRPr="009272EB">
        <w:rPr>
          <w:rFonts w:ascii="Times New Roman" w:hAnsi="Times New Roman"/>
          <w:iCs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</w:t>
      </w:r>
      <w:r w:rsidR="009272EB">
        <w:rPr>
          <w:rFonts w:ascii="Times New Roman" w:hAnsi="Times New Roman"/>
          <w:iCs/>
          <w:sz w:val="24"/>
          <w:szCs w:val="24"/>
        </w:rPr>
        <w:t>инфина РФ от 28.12.2010 № 191н</w:t>
      </w:r>
      <w:r w:rsidRPr="009272EB">
        <w:rPr>
          <w:rFonts w:ascii="Times New Roman" w:hAnsi="Times New Roman"/>
          <w:iCs/>
          <w:sz w:val="24"/>
          <w:szCs w:val="24"/>
        </w:rPr>
        <w:t>, а именно:</w:t>
      </w:r>
      <w:proofErr w:type="gramEnd"/>
    </w:p>
    <w:p w:rsidR="00EA101B" w:rsidRPr="00EA101B" w:rsidRDefault="00EA101B" w:rsidP="00EA101B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В нарушение пункта 153 Инструкции № 191н в  разделе 5 «Прочие вопросы деятельности субъекта бюджетной отчетности»  пояснительной записки (</w:t>
      </w:r>
      <w:hyperlink r:id="rId8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) отражена информация по таблице № 1 «Сведения о направлениях деятельности». </w:t>
      </w:r>
      <w:proofErr w:type="gramStart"/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Согласно пункта</w:t>
      </w:r>
      <w:proofErr w:type="gramEnd"/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153 Инструкции № 191н в составе сводной пояснительной записки (</w:t>
      </w:r>
      <w:hyperlink r:id="rId9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) </w:t>
      </w:r>
      <w:hyperlink r:id="rId10" w:anchor="/document/12181732/entry/503160881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таблица № 1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EA101B" w:rsidRPr="00EA101B" w:rsidRDefault="00EA101B" w:rsidP="00EA101B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В нарушение пункта 156 Инструкции №191н в разделе 5 «Прочие вопросы деятельности субъекта бюджетной отчетности»  пояснительной записки (</w:t>
      </w:r>
      <w:hyperlink r:id="rId11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)  отражена информация по таблице № 4 «Сведения об особенностях ведения бюджетного учета». Согласно пункту 156 Инструкции №191н в составе  пояснительной записки (</w:t>
      </w:r>
      <w:hyperlink r:id="rId12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EA101B" w:rsidRPr="00EA101B" w:rsidRDefault="00EA101B" w:rsidP="00EA101B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lastRenderedPageBreak/>
        <w:t>В нарушение пункта 159.4 Инструкции №191н в разделе 5 «Прочие вопросы деятельности субъекта бюджетной отчетности»  пояснительной записки (</w:t>
      </w:r>
      <w:hyperlink r:id="rId13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)  отражена информация по таблице № 11 «Сведения об организационной структуре субъекта бюджетной отчетности». Согласно пункту 159.4 Инструкции №191н в составе  пояснительной записки (</w:t>
      </w:r>
      <w:hyperlink r:id="rId14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) таблица № 11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EA101B" w:rsidRPr="00EA101B" w:rsidRDefault="00EA101B" w:rsidP="00EA101B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В нарушение пункта 159.5 Инструкции №191н в разделе 5 «Прочие вопросы деятельности субъекта бюджетной отчетности»  пояснительной записки (</w:t>
      </w:r>
      <w:hyperlink r:id="rId15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)  отражена информация по таблице  № 12 «Сведения о результатах деятельности субъекта бюджетной отчетности». Согласно пункту 159.5 Инструкции №191н в составе  пояснительной записки (</w:t>
      </w:r>
      <w:hyperlink r:id="rId16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) таблица № 12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EA101B" w:rsidRPr="00EA101B" w:rsidRDefault="00EA101B" w:rsidP="00EA101B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В нарушение пункта 159.9 Инструкции №191н в разделе 5 «Прочие вопросы деятельности субъекта бюджетной отчетности»  пояснительной записки (</w:t>
      </w:r>
      <w:hyperlink r:id="rId17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)  отражена информация по таблице  № 16 «"Прочие вопросы деятельности субъекта бюджетной отчетности». Согласно пункту 159.9 Инструкции №191н в составе  пояснительной записки (</w:t>
      </w:r>
      <w:hyperlink r:id="rId18" w:anchor="/document/12181732/entry/503160" w:history="1">
        <w:r w:rsidRPr="00EA101B">
          <w:rPr>
            <w:rStyle w:val="ab"/>
            <w:rFonts w:ascii="Times New Roman" w:hAnsi="Times New Roman"/>
            <w:bCs/>
            <w:iCs/>
            <w:sz w:val="24"/>
            <w:szCs w:val="24"/>
            <w:lang w:eastAsia="en-US"/>
          </w:rPr>
          <w:t>ф. 0503160</w:t>
        </w:r>
      </w:hyperlink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) таблица № 16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59296D" w:rsidRDefault="00EA101B" w:rsidP="0059296D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В нарушение пункта 159.6 Инструкции №191н в строке 050 таблицы №13 «Анализ отчета об исполнении бюджета субъектом бюджетной отчетности» отражена сумма страховых взносов за декабрь 2023 года в размере 8 531,37 рублей, подлежащих уплате в 2024 году. По строке 050 отражается информация о принятии денежных обязатель</w:t>
      </w:r>
      <w:proofErr w:type="gramStart"/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ств св</w:t>
      </w:r>
      <w:proofErr w:type="gramEnd"/>
      <w:r w:rsidRPr="00EA101B">
        <w:rPr>
          <w:rFonts w:ascii="Times New Roman" w:hAnsi="Times New Roman"/>
          <w:bCs/>
          <w:iCs/>
          <w:sz w:val="24"/>
          <w:szCs w:val="24"/>
          <w:lang w:eastAsia="en-US"/>
        </w:rPr>
        <w:t>ерх утвержденного субъекту отчетности на финансовый год объема бюджетных ассигнований и (или) лимитов бюджетных средств. Согласно данным главной книги, Сведений по дебиторской и кредиторской задолженности (ф.0503169), Отчета о бюджетных обязательствах (ф.0503128) сумма страховых взносов является кредиторской задолженностью, а так же принятым, но не исполненным денежным обязательством. Таким образом, сумму страховых взносов 8 51,37 рублей следует исключить из строки 050 таблицы №13. Следовательно, у таблицы  №13 отсутствуют числовые значения и в соответствии с пунктом 8 Инструкции 191н информацию по ней необходимо отражать в разделе 5 «Прочие вопросы деятельности» пояснительной записки (ф.0503160).</w:t>
      </w:r>
    </w:p>
    <w:p w:rsidR="00EA101B" w:rsidRPr="00036B29" w:rsidRDefault="000D6806" w:rsidP="00036B29">
      <w:pPr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59296D">
        <w:rPr>
          <w:rFonts w:ascii="Times New Roman" w:hAnsi="Times New Roman"/>
          <w:sz w:val="24"/>
          <w:szCs w:val="24"/>
        </w:rPr>
        <w:t>2.В пояснительной записке (ф.0503160) объем кредиторской задолженности на 01.01.2023 года указан в сумме 85,6 тыс. рублей, что не соответствует данным отчетной формы «Сведения по дебиторской и кредитор</w:t>
      </w:r>
      <w:r w:rsidR="00036B29">
        <w:rPr>
          <w:rFonts w:ascii="Times New Roman" w:hAnsi="Times New Roman"/>
          <w:sz w:val="24"/>
          <w:szCs w:val="24"/>
        </w:rPr>
        <w:t>ской задолженности» (ф.0503169).</w:t>
      </w:r>
    </w:p>
    <w:p w:rsidR="00EA101B" w:rsidRDefault="00EA101B" w:rsidP="008B2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D7" w:rsidRDefault="008B23D7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569"/>
        <w:gridCol w:w="1134"/>
        <w:gridCol w:w="1276"/>
        <w:gridCol w:w="2976"/>
      </w:tblGrid>
      <w:tr w:rsidR="00E31034" w:rsidRPr="005B192A" w:rsidTr="00492E01">
        <w:trPr>
          <w:trHeight w:val="776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492E01">
        <w:trPr>
          <w:trHeight w:val="830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</w:t>
            </w:r>
            <w:r w:rsidRPr="00952103">
              <w:rPr>
                <w:rFonts w:ascii="Times New Roman" w:hAnsi="Times New Roman"/>
              </w:rPr>
              <w:lastRenderedPageBreak/>
              <w:t>ению в бюджет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492E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492E01">
        <w:trPr>
          <w:trHeight w:val="80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492E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492E01">
        <w:trPr>
          <w:trHeight w:val="86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492E01">
        <w:trPr>
          <w:trHeight w:val="54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492E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492E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492E01">
        <w:trPr>
          <w:trHeight w:val="174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B" w:rsidRDefault="00843DAB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63B8" w:rsidRPr="00952103" w:rsidRDefault="00036B29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A0" w:rsidRDefault="00E246A0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5A7" w:rsidRPr="00952103" w:rsidRDefault="00BE45A7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492E01">
        <w:trPr>
          <w:trHeight w:val="69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468A9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468A9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ошибка</w:t>
            </w:r>
          </w:p>
        </w:tc>
      </w:tr>
      <w:tr w:rsidR="00E31034" w:rsidRPr="005B192A" w:rsidTr="00492E0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6445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E14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6DF" w:rsidRPr="004E3ACB" w:rsidRDefault="00E31034" w:rsidP="004E3A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  <w:r w:rsidR="004E3ACB">
        <w:rPr>
          <w:rFonts w:ascii="Times New Roman" w:hAnsi="Times New Roman"/>
          <w:sz w:val="24"/>
          <w:szCs w:val="24"/>
        </w:rPr>
        <w:t>Нет</w:t>
      </w:r>
    </w:p>
    <w:p w:rsidR="00E31034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  <w:r w:rsidR="004E3ACB">
        <w:rPr>
          <w:rFonts w:ascii="Times New Roman" w:hAnsi="Times New Roman"/>
          <w:sz w:val="24"/>
          <w:szCs w:val="24"/>
        </w:rPr>
        <w:t xml:space="preserve"> Нет</w:t>
      </w:r>
    </w:p>
    <w:p w:rsidR="004E3ACB" w:rsidRPr="004E3ACB" w:rsidRDefault="004E3ACB" w:rsidP="00363E0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3ACB">
        <w:rPr>
          <w:rFonts w:ascii="Times New Roman" w:hAnsi="Times New Roman"/>
          <w:b/>
          <w:sz w:val="24"/>
          <w:szCs w:val="24"/>
        </w:rPr>
        <w:t>Другие предложения:</w:t>
      </w:r>
    </w:p>
    <w:p w:rsidR="00383D32" w:rsidRPr="00383D32" w:rsidRDefault="00383D32" w:rsidP="00383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0468A9" w:rsidRPr="000468A9" w:rsidRDefault="000468A9" w:rsidP="000468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68A9">
        <w:rPr>
          <w:rFonts w:ascii="Times New Roman" w:hAnsi="Times New Roman"/>
          <w:sz w:val="24"/>
          <w:szCs w:val="24"/>
        </w:rPr>
        <w:t>1.При составлении годовой бюджетной отчетности за 2024 год  не допускать нарушений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CF3A36" w:rsidRDefault="00CF3A36" w:rsidP="00F376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4E3ACB">
        <w:rPr>
          <w:rFonts w:ascii="Times New Roman" w:hAnsi="Times New Roman"/>
          <w:b/>
          <w:sz w:val="24"/>
          <w:szCs w:val="24"/>
        </w:rPr>
        <w:t>ь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CF3A36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8D46C7" w:rsidRPr="00105B63" w:rsidRDefault="00383D32" w:rsidP="00105B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  <w:r w:rsidR="00CF3A36">
        <w:rPr>
          <w:rFonts w:ascii="Times New Roman" w:hAnsi="Times New Roman"/>
          <w:sz w:val="24"/>
          <w:szCs w:val="24"/>
        </w:rPr>
        <w:t>округа                                                                    Н.С.Фредериксен</w:t>
      </w:r>
    </w:p>
    <w:sectPr w:rsidR="008D46C7" w:rsidRPr="00105B63" w:rsidSect="00C518A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6671B"/>
    <w:multiLevelType w:val="hybridMultilevel"/>
    <w:tmpl w:val="7E864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C80DD5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3271"/>
    <w:multiLevelType w:val="hybridMultilevel"/>
    <w:tmpl w:val="C840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E7C5F"/>
    <w:multiLevelType w:val="hybridMultilevel"/>
    <w:tmpl w:val="2CA04062"/>
    <w:lvl w:ilvl="0" w:tplc="C7A24400">
      <w:start w:val="1"/>
      <w:numFmt w:val="decimal"/>
      <w:suff w:val="space"/>
      <w:lvlText w:val="%1."/>
      <w:lvlJc w:val="left"/>
      <w:pPr>
        <w:ind w:left="0" w:firstLine="709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20"/>
  </w:num>
  <w:num w:numId="10">
    <w:abstractNumId w:val="6"/>
  </w:num>
  <w:num w:numId="11">
    <w:abstractNumId w:val="12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27"/>
  </w:num>
  <w:num w:numId="17">
    <w:abstractNumId w:val="15"/>
  </w:num>
  <w:num w:numId="18">
    <w:abstractNumId w:val="26"/>
  </w:num>
  <w:num w:numId="19">
    <w:abstractNumId w:val="2"/>
  </w:num>
  <w:num w:numId="20">
    <w:abstractNumId w:val="17"/>
  </w:num>
  <w:num w:numId="21">
    <w:abstractNumId w:val="14"/>
  </w:num>
  <w:num w:numId="22">
    <w:abstractNumId w:val="24"/>
  </w:num>
  <w:num w:numId="23">
    <w:abstractNumId w:val="21"/>
  </w:num>
  <w:num w:numId="24">
    <w:abstractNumId w:val="25"/>
  </w:num>
  <w:num w:numId="25">
    <w:abstractNumId w:val="4"/>
  </w:num>
  <w:num w:numId="26">
    <w:abstractNumId w:val="23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08A"/>
    <w:rsid w:val="00005E51"/>
    <w:rsid w:val="000134F4"/>
    <w:rsid w:val="00015FE7"/>
    <w:rsid w:val="00017177"/>
    <w:rsid w:val="00023BD4"/>
    <w:rsid w:val="00024C19"/>
    <w:rsid w:val="00036B29"/>
    <w:rsid w:val="00040508"/>
    <w:rsid w:val="00042951"/>
    <w:rsid w:val="0004623D"/>
    <w:rsid w:val="000468A9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69BD"/>
    <w:rsid w:val="000B7F98"/>
    <w:rsid w:val="000C1028"/>
    <w:rsid w:val="000C122F"/>
    <w:rsid w:val="000C15A0"/>
    <w:rsid w:val="000C3BA6"/>
    <w:rsid w:val="000C51F6"/>
    <w:rsid w:val="000C63A4"/>
    <w:rsid w:val="000D4320"/>
    <w:rsid w:val="000D6806"/>
    <w:rsid w:val="000E0C3F"/>
    <w:rsid w:val="000E2FC1"/>
    <w:rsid w:val="000E5BE8"/>
    <w:rsid w:val="000E7B48"/>
    <w:rsid w:val="000E7DF5"/>
    <w:rsid w:val="000F02C3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5B63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37F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54B6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2E01"/>
    <w:rsid w:val="00494DE5"/>
    <w:rsid w:val="00495249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3ACB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0A74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296D"/>
    <w:rsid w:val="00593EDA"/>
    <w:rsid w:val="00594AA5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22DC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60DB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7CC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C53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1DFC"/>
    <w:rsid w:val="008B23D7"/>
    <w:rsid w:val="008B4122"/>
    <w:rsid w:val="008B4A5D"/>
    <w:rsid w:val="008C470F"/>
    <w:rsid w:val="008C5BD8"/>
    <w:rsid w:val="008C7768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1277"/>
    <w:rsid w:val="0090727B"/>
    <w:rsid w:val="0091026E"/>
    <w:rsid w:val="00910E0D"/>
    <w:rsid w:val="00911C40"/>
    <w:rsid w:val="00915589"/>
    <w:rsid w:val="00920F0E"/>
    <w:rsid w:val="00926FD8"/>
    <w:rsid w:val="009272EB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152D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025B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18AD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DFB"/>
    <w:rsid w:val="00CC0517"/>
    <w:rsid w:val="00CC0DA1"/>
    <w:rsid w:val="00CD3016"/>
    <w:rsid w:val="00CE1DE2"/>
    <w:rsid w:val="00CE2164"/>
    <w:rsid w:val="00CE3414"/>
    <w:rsid w:val="00CE4526"/>
    <w:rsid w:val="00CE4F12"/>
    <w:rsid w:val="00CE59C2"/>
    <w:rsid w:val="00CF3A36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46D9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139C"/>
    <w:rsid w:val="00D8298D"/>
    <w:rsid w:val="00D84088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3B2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101B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A1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A1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EA74-F82C-4E78-B84C-F9F83B0F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58</cp:revision>
  <cp:lastPrinted>2021-06-02T08:25:00Z</cp:lastPrinted>
  <dcterms:created xsi:type="dcterms:W3CDTF">2021-06-02T06:01:00Z</dcterms:created>
  <dcterms:modified xsi:type="dcterms:W3CDTF">2024-06-06T08:30:00Z</dcterms:modified>
</cp:coreProperties>
</file>