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120188D" wp14:editId="275AB82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 xml:space="preserve">АДМИНИСТРАЦИЯ БЕЛОЗЕРСКОГО МУНИЦИПАЛЬНОГО </w:t>
      </w:r>
      <w:r w:rsidR="005E66A1">
        <w:rPr>
          <w:rFonts w:ascii="Times New Roman" w:hAnsi="Times New Roman"/>
          <w:sz w:val="20"/>
        </w:rPr>
        <w:t>ОКРУГА</w:t>
      </w:r>
      <w:r w:rsidRPr="00114484">
        <w:rPr>
          <w:rFonts w:ascii="Times New Roman" w:hAnsi="Times New Roman"/>
          <w:sz w:val="20"/>
        </w:rPr>
        <w:t xml:space="preserve">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EC7F24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D6576B">
        <w:rPr>
          <w:rFonts w:ascii="Times New Roman" w:hAnsi="Times New Roman"/>
          <w:sz w:val="28"/>
          <w:szCs w:val="24"/>
          <w:lang w:eastAsia="ar-SA"/>
        </w:rPr>
        <w:t>04.08.2023</w:t>
      </w:r>
      <w:r w:rsidR="00996278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D6576B">
        <w:rPr>
          <w:rFonts w:ascii="Times New Roman" w:hAnsi="Times New Roman"/>
          <w:sz w:val="28"/>
          <w:szCs w:val="24"/>
          <w:lang w:eastAsia="ar-SA"/>
        </w:rPr>
        <w:t>№ 965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66A1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</w:t>
      </w:r>
      <w:r w:rsidR="005E66A1">
        <w:rPr>
          <w:rFonts w:ascii="Times New Roman" w:hAnsi="Times New Roman"/>
          <w:sz w:val="28"/>
          <w:szCs w:val="28"/>
          <w:lang w:eastAsia="ar-SA"/>
        </w:rPr>
        <w:t>2</w:t>
      </w:r>
      <w:r w:rsidR="0099775C">
        <w:rPr>
          <w:rFonts w:ascii="Times New Roman" w:hAnsi="Times New Roman"/>
          <w:sz w:val="28"/>
          <w:szCs w:val="28"/>
          <w:lang w:eastAsia="ar-SA"/>
        </w:rPr>
        <w:t xml:space="preserve"> № 50</w:t>
      </w:r>
      <w:r w:rsidR="005E66A1">
        <w:rPr>
          <w:rFonts w:ascii="Times New Roman" w:hAnsi="Times New Roman"/>
          <w:sz w:val="28"/>
          <w:szCs w:val="28"/>
          <w:lang w:eastAsia="ar-SA"/>
        </w:rPr>
        <w:t>1</w:t>
      </w:r>
    </w:p>
    <w:p w:rsidR="00F77DB5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решением Представительного Собрания округа от  25.07.2023 №257 «О внесении изменений в решение Представительного Собрания округа от 26.12.2022 №103», </w:t>
      </w:r>
      <w:r w:rsidRPr="002B74C3">
        <w:rPr>
          <w:rFonts w:ascii="Times New Roman" w:hAnsi="Times New Roman"/>
          <w:sz w:val="28"/>
          <w:szCs w:val="28"/>
          <w:lang w:eastAsia="ar-SA"/>
        </w:rPr>
        <w:t>уведомления об изменении бюджетны</w:t>
      </w:r>
      <w:r>
        <w:rPr>
          <w:rFonts w:ascii="Times New Roman" w:hAnsi="Times New Roman"/>
          <w:sz w:val="28"/>
          <w:szCs w:val="28"/>
          <w:lang w:eastAsia="ar-SA"/>
        </w:rPr>
        <w:t>х ассигнований по расходам от 25</w:t>
      </w:r>
      <w:r w:rsidRPr="002B74C3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 xml:space="preserve">7.2023 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E66A1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6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основных направлений кадровой политики 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E66A1" w:rsidRPr="005E66A1">
        <w:rPr>
          <w:rFonts w:ascii="Times New Roman" w:hAnsi="Times New Roman"/>
          <w:sz w:val="28"/>
          <w:szCs w:val="28"/>
        </w:rPr>
        <w:t>от 28.12.2022 № 501</w:t>
      </w:r>
      <w:r w:rsidR="005E66A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основных направлений  кадровой политики в Белозерском муниципальном округе  </w:t>
      </w:r>
      <w:r w:rsidR="005E66A1" w:rsidRPr="005E66A1">
        <w:rPr>
          <w:rFonts w:ascii="Times New Roman" w:hAnsi="Times New Roman"/>
          <w:sz w:val="28"/>
          <w:szCs w:val="28"/>
        </w:rPr>
        <w:t>на 2023-2027 годы</w:t>
      </w:r>
      <w:r w:rsidR="005E66A1">
        <w:rPr>
          <w:rFonts w:ascii="Times New Roman" w:hAnsi="Times New Roman"/>
          <w:sz w:val="28"/>
          <w:szCs w:val="28"/>
        </w:rPr>
        <w:t xml:space="preserve">» </w:t>
      </w:r>
      <w:r w:rsidR="005E66A1" w:rsidRPr="005E66A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D4367" w:rsidRDefault="002B74C3" w:rsidP="002B74C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 в паспорте программы в строке «Объем бюджетных ассигнований программы» </w:t>
      </w:r>
    </w:p>
    <w:p w:rsidR="003D4367" w:rsidRDefault="002B74C3" w:rsidP="002B74C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</w:t>
      </w:r>
      <w:r w:rsidR="00E42F0B">
        <w:rPr>
          <w:rFonts w:ascii="Times New Roman" w:hAnsi="Times New Roman"/>
          <w:sz w:val="28"/>
          <w:szCs w:val="28"/>
        </w:rPr>
        <w:t>ы «4066,0» заменить цифрами 4197</w:t>
      </w:r>
      <w:r>
        <w:rPr>
          <w:rFonts w:ascii="Times New Roman" w:hAnsi="Times New Roman"/>
          <w:sz w:val="28"/>
          <w:szCs w:val="28"/>
        </w:rPr>
        <w:t>,</w:t>
      </w:r>
      <w:r w:rsidR="00E42F0B">
        <w:rPr>
          <w:rFonts w:ascii="Times New Roman" w:hAnsi="Times New Roman"/>
          <w:sz w:val="28"/>
          <w:szCs w:val="28"/>
        </w:rPr>
        <w:t xml:space="preserve">6»; </w:t>
      </w:r>
    </w:p>
    <w:p w:rsidR="002B74C3" w:rsidRDefault="00E42F0B" w:rsidP="002B74C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и цифры «2023 год-798</w:t>
      </w:r>
      <w:r w:rsidR="002B74C3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B74C3">
        <w:rPr>
          <w:rFonts w:ascii="Times New Roman" w:hAnsi="Times New Roman"/>
          <w:sz w:val="28"/>
          <w:szCs w:val="28"/>
        </w:rPr>
        <w:t>тыс</w:t>
      </w:r>
      <w:proofErr w:type="gramStart"/>
      <w:r w:rsidR="002B74C3">
        <w:rPr>
          <w:rFonts w:ascii="Times New Roman" w:hAnsi="Times New Roman"/>
          <w:sz w:val="28"/>
          <w:szCs w:val="28"/>
        </w:rPr>
        <w:t>.р</w:t>
      </w:r>
      <w:proofErr w:type="gramEnd"/>
      <w:r w:rsidR="002B74C3">
        <w:rPr>
          <w:rFonts w:ascii="Times New Roman" w:hAnsi="Times New Roman"/>
          <w:sz w:val="28"/>
          <w:szCs w:val="28"/>
        </w:rPr>
        <w:t>уб</w:t>
      </w:r>
      <w:proofErr w:type="spellEnd"/>
      <w:r w:rsidR="002B74C3">
        <w:rPr>
          <w:rFonts w:ascii="Times New Roman" w:hAnsi="Times New Roman"/>
          <w:sz w:val="28"/>
          <w:szCs w:val="28"/>
        </w:rPr>
        <w:t xml:space="preserve">» заменить словами и цифрами </w:t>
      </w:r>
      <w:r w:rsidR="002B74C3" w:rsidRPr="00244297">
        <w:rPr>
          <w:rFonts w:ascii="Times New Roman" w:hAnsi="Times New Roman"/>
          <w:sz w:val="28"/>
          <w:szCs w:val="28"/>
        </w:rPr>
        <w:t>«2023 год-</w:t>
      </w:r>
      <w:r>
        <w:rPr>
          <w:rFonts w:ascii="Times New Roman" w:hAnsi="Times New Roman"/>
          <w:sz w:val="28"/>
          <w:szCs w:val="28"/>
        </w:rPr>
        <w:t>929</w:t>
      </w:r>
      <w:r w:rsidR="002B74C3" w:rsidRPr="00244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2B74C3" w:rsidRPr="0024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4C3" w:rsidRPr="00244297">
        <w:rPr>
          <w:rFonts w:ascii="Times New Roman" w:hAnsi="Times New Roman"/>
          <w:sz w:val="28"/>
          <w:szCs w:val="28"/>
        </w:rPr>
        <w:t>тыс.руб</w:t>
      </w:r>
      <w:proofErr w:type="spellEnd"/>
      <w:r w:rsidR="002B74C3" w:rsidRPr="00244297">
        <w:rPr>
          <w:rFonts w:ascii="Times New Roman" w:hAnsi="Times New Roman"/>
          <w:sz w:val="28"/>
          <w:szCs w:val="28"/>
        </w:rPr>
        <w:t>»</w:t>
      </w:r>
      <w:r w:rsidR="002B74C3">
        <w:rPr>
          <w:rFonts w:ascii="Times New Roman" w:hAnsi="Times New Roman"/>
          <w:sz w:val="28"/>
          <w:szCs w:val="28"/>
        </w:rPr>
        <w:t>.</w:t>
      </w:r>
    </w:p>
    <w:p w:rsidR="00E42F0B" w:rsidRDefault="00E42F0B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разделе 3 «</w:t>
      </w:r>
      <w:r w:rsidRPr="00244297"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>» пункт 3.4</w:t>
      </w:r>
      <w:r w:rsidR="003D4367">
        <w:rPr>
          <w:rFonts w:ascii="Times New Roman" w:hAnsi="Times New Roman"/>
          <w:sz w:val="28"/>
          <w:szCs w:val="28"/>
        </w:rPr>
        <w:t>.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42F0B" w:rsidRPr="00E21A57" w:rsidRDefault="00E42F0B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244297">
        <w:rPr>
          <w:rFonts w:ascii="Times New Roman" w:hAnsi="Times New Roman"/>
          <w:b/>
          <w:color w:val="000000"/>
          <w:sz w:val="28"/>
          <w:szCs w:val="20"/>
          <w:lang w:eastAsia="ru-RU"/>
        </w:rPr>
        <w:t>Мероприятие 3.4</w:t>
      </w: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 Выплаты почетным гражданам. Цель мероприятия: поощрение почетных граждан округа за личный вклад в социально-экономическое развитие округа.  </w:t>
      </w:r>
    </w:p>
    <w:p w:rsidR="00E42F0B" w:rsidRPr="00244297" w:rsidRDefault="00E42F0B" w:rsidP="00E42F0B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Общий объем финансирования Программы в 2023-2027 годы  из средств </w:t>
      </w:r>
      <w:r w:rsidR="003D436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бюджета  округа составляет  41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97</w:t>
      </w: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6</w:t>
      </w: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тыс. рублей и приведен в Приложении 1 к муниципальной программе, а также конкретизирован в соответствии с проводимыми мероприятиями в Приложении 5 к муниципальной программе. </w:t>
      </w:r>
    </w:p>
    <w:p w:rsidR="00E42F0B" w:rsidRDefault="00E42F0B" w:rsidP="00E42F0B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lastRenderedPageBreak/>
        <w:t xml:space="preserve">     Объемы ассигнований из бюджета округа подлежат ежегодному уточнению исходя из возможностей доходной базы бюджета 2023 - 2027 годов.</w:t>
      </w:r>
    </w:p>
    <w:p w:rsidR="00E42F0B" w:rsidRPr="00244297" w:rsidRDefault="00E42F0B" w:rsidP="00E42F0B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642"/>
      </w:tblGrid>
      <w:tr w:rsidR="00E42F0B" w:rsidRPr="00244297" w:rsidTr="00E42F0B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 финансирования</w:t>
            </w:r>
          </w:p>
        </w:tc>
      </w:tr>
      <w:tr w:rsidR="00E42F0B" w:rsidRPr="00244297" w:rsidTr="00E42F0B">
        <w:trPr>
          <w:trHeight w:val="193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Бюджет</w:t>
            </w:r>
          </w:p>
          <w:p w:rsidR="00E42F0B" w:rsidRPr="00244297" w:rsidRDefault="00E42F0B" w:rsidP="00E42F0B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округа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тыс</w:t>
            </w:r>
            <w:proofErr w:type="gram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уб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Бюджеты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Других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Бюджетные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фонды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Прочие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</w:t>
            </w:r>
          </w:p>
        </w:tc>
      </w:tr>
      <w:tr w:rsidR="00E42F0B" w:rsidRPr="00244297" w:rsidTr="00E42F0B">
        <w:trPr>
          <w:trHeight w:val="309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</w:tr>
      <w:tr w:rsidR="00E42F0B" w:rsidRPr="00244297" w:rsidTr="00E42F0B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Общий объем финансирования,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в том  числе с разбивкой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по годам: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E42F0B" w:rsidRPr="00244297" w:rsidTr="00E42F0B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929,6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E42F0B" w:rsidRPr="00244297" w:rsidTr="00E42F0B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E42F0B" w:rsidRPr="00244297" w:rsidTr="00E42F0B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E42F0B" w:rsidRPr="00244297" w:rsidTr="00E42F0B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E42F0B" w:rsidRPr="00244297" w:rsidTr="00E42F0B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F0B" w:rsidRPr="00244297" w:rsidRDefault="00E42F0B" w:rsidP="00E42F0B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E42F0B" w:rsidRPr="00244297" w:rsidRDefault="00E42F0B" w:rsidP="00E42F0B">
      <w:pPr>
        <w:rPr>
          <w:rFonts w:ascii="Times New Roman" w:hAnsi="Times New Roman"/>
          <w:color w:val="000000"/>
          <w:szCs w:val="20"/>
          <w:lang w:eastAsia="ru-RU"/>
        </w:rPr>
      </w:pPr>
    </w:p>
    <w:p w:rsidR="00E42F0B" w:rsidRDefault="00E42F0B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1.3.Приложение 1 к муниципальной программе «</w:t>
      </w:r>
      <w:r w:rsidRPr="0055071C">
        <w:rPr>
          <w:rFonts w:ascii="Times New Roman" w:hAnsi="Times New Roman"/>
          <w:sz w:val="28"/>
          <w:szCs w:val="28"/>
        </w:rPr>
        <w:t>Ресурсное обеспечение реа</w:t>
      </w:r>
      <w:r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Pr="0055071C">
        <w:rPr>
          <w:rFonts w:ascii="Times New Roman" w:hAnsi="Times New Roman"/>
          <w:sz w:val="28"/>
          <w:szCs w:val="28"/>
        </w:rPr>
        <w:t>за счет средств бюджета округ</w:t>
      </w:r>
      <w:proofErr w:type="gramStart"/>
      <w:r w:rsidRPr="0055071C">
        <w:rPr>
          <w:rFonts w:ascii="Times New Roman" w:hAnsi="Times New Roman"/>
          <w:sz w:val="28"/>
          <w:szCs w:val="28"/>
        </w:rPr>
        <w:t>а(</w:t>
      </w:r>
      <w:proofErr w:type="gramEnd"/>
      <w:r w:rsidRPr="0055071C">
        <w:rPr>
          <w:rFonts w:ascii="Times New Roman" w:hAnsi="Times New Roman"/>
          <w:sz w:val="28"/>
          <w:szCs w:val="28"/>
        </w:rPr>
        <w:t>тыс. руб.)</w:t>
      </w:r>
      <w:r>
        <w:rPr>
          <w:rFonts w:ascii="Times New Roman" w:hAnsi="Times New Roman"/>
          <w:sz w:val="28"/>
          <w:szCs w:val="28"/>
        </w:rPr>
        <w:t xml:space="preserve">» изложить в новой </w:t>
      </w:r>
      <w:r w:rsidRPr="0055071C">
        <w:t xml:space="preserve"> </w:t>
      </w:r>
      <w:r w:rsidRPr="0055071C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/>
          <w:sz w:val="28"/>
          <w:szCs w:val="28"/>
        </w:rPr>
        <w:t>1 к настоящему постановлению</w:t>
      </w:r>
      <w:r w:rsidRPr="0055071C">
        <w:rPr>
          <w:rFonts w:ascii="Times New Roman" w:hAnsi="Times New Roman"/>
          <w:sz w:val="28"/>
          <w:szCs w:val="28"/>
        </w:rPr>
        <w:t>.</w:t>
      </w:r>
    </w:p>
    <w:p w:rsidR="00E42F0B" w:rsidRDefault="00E42F0B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 w:rsidRPr="0055071C">
        <w:t xml:space="preserve"> </w:t>
      </w:r>
      <w:r w:rsidRPr="0055071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55071C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071C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</w:t>
      </w:r>
      <w:r>
        <w:rPr>
          <w:rFonts w:ascii="Times New Roman" w:hAnsi="Times New Roman"/>
          <w:sz w:val="28"/>
          <w:szCs w:val="28"/>
        </w:rPr>
        <w:t xml:space="preserve">ю целей муниципальной программы (тыс. руб.)» </w:t>
      </w:r>
      <w:r w:rsidRPr="00DC187A">
        <w:rPr>
          <w:rFonts w:ascii="Times New Roman" w:hAnsi="Times New Roman"/>
          <w:sz w:val="28"/>
          <w:szCs w:val="28"/>
        </w:rPr>
        <w:t>изл</w:t>
      </w:r>
      <w:r>
        <w:rPr>
          <w:rFonts w:ascii="Times New Roman" w:hAnsi="Times New Roman"/>
          <w:sz w:val="28"/>
          <w:szCs w:val="28"/>
        </w:rPr>
        <w:t>ожить в новой  редакции согласно приложению 2</w:t>
      </w:r>
      <w:r w:rsidRPr="00DC187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42F0B" w:rsidRPr="0055071C" w:rsidRDefault="00E42F0B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 w:rsidRPr="00DC187A">
        <w:t xml:space="preserve"> </w:t>
      </w:r>
      <w:r w:rsidRPr="00DC187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DC187A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C187A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округа  </w:t>
      </w:r>
      <w:r w:rsidRPr="00DC187A">
        <w:rPr>
          <w:rFonts w:ascii="Times New Roman" w:hAnsi="Times New Roman"/>
          <w:sz w:val="28"/>
          <w:szCs w:val="28"/>
        </w:rPr>
        <w:t>(тыс. рублей)</w:t>
      </w:r>
      <w:r>
        <w:rPr>
          <w:rFonts w:ascii="Times New Roman" w:hAnsi="Times New Roman"/>
          <w:sz w:val="28"/>
          <w:szCs w:val="28"/>
        </w:rPr>
        <w:t>»</w:t>
      </w:r>
      <w:r w:rsidRPr="00DC187A">
        <w:t xml:space="preserve"> </w:t>
      </w:r>
      <w:r w:rsidRPr="00DC187A">
        <w:rPr>
          <w:rFonts w:ascii="Times New Roman" w:hAnsi="Times New Roman"/>
          <w:sz w:val="28"/>
          <w:szCs w:val="28"/>
        </w:rPr>
        <w:t>изложить в новой  редакц</w:t>
      </w:r>
      <w:r>
        <w:rPr>
          <w:rFonts w:ascii="Times New Roman" w:hAnsi="Times New Roman"/>
          <w:sz w:val="28"/>
          <w:szCs w:val="28"/>
        </w:rPr>
        <w:t>ии согласно приложению 3</w:t>
      </w:r>
      <w:r w:rsidRPr="00DC187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2F0B" w:rsidRDefault="00E42F0B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55071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1.6. Приложение 6 к муниципальной программе «</w:t>
      </w:r>
      <w:r w:rsidRPr="00F93B70">
        <w:rPr>
          <w:rFonts w:ascii="Times New Roman" w:hAnsi="Times New Roman"/>
          <w:sz w:val="28"/>
          <w:szCs w:val="28"/>
        </w:rPr>
        <w:t>План реализации муниципальной программы «Основные</w:t>
      </w:r>
      <w:r>
        <w:rPr>
          <w:rFonts w:ascii="Times New Roman" w:hAnsi="Times New Roman"/>
          <w:sz w:val="28"/>
          <w:szCs w:val="28"/>
        </w:rPr>
        <w:t xml:space="preserve"> направления кадровой политики </w:t>
      </w:r>
      <w:r w:rsidRPr="00F93B70">
        <w:rPr>
          <w:rFonts w:ascii="Times New Roman" w:hAnsi="Times New Roman"/>
          <w:sz w:val="28"/>
          <w:szCs w:val="28"/>
        </w:rPr>
        <w:t xml:space="preserve">в Белозерском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F93B70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F93B7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F93B7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4 к настоящему постановлению.</w:t>
      </w:r>
    </w:p>
    <w:p w:rsidR="00AF61AB" w:rsidRDefault="008101D7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6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61AB">
        <w:rPr>
          <w:rFonts w:ascii="Times New Roman" w:hAnsi="Times New Roman"/>
          <w:sz w:val="28"/>
          <w:szCs w:val="28"/>
        </w:rPr>
        <w:t xml:space="preserve"> </w:t>
      </w:r>
      <w:r w:rsidR="00AF61AB"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 w:rsidR="00AF61AB">
        <w:rPr>
          <w:rFonts w:ascii="Times New Roman" w:hAnsi="Times New Roman"/>
          <w:sz w:val="28"/>
          <w:szCs w:val="28"/>
        </w:rPr>
        <w:t>ю в газете «</w:t>
      </w:r>
      <w:proofErr w:type="spellStart"/>
      <w:r w:rsidR="00AF61AB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AF61AB">
        <w:rPr>
          <w:rFonts w:ascii="Times New Roman" w:hAnsi="Times New Roman"/>
          <w:sz w:val="28"/>
          <w:szCs w:val="28"/>
        </w:rPr>
        <w:t>» и</w:t>
      </w:r>
      <w:r w:rsidR="00AF61AB"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</w:t>
      </w:r>
      <w:r w:rsidR="000F435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AF61AB" w:rsidRPr="00FE2F63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AF61A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E261CB" w:rsidRPr="00D856E6" w:rsidRDefault="00E261CB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3D2AFF" w:rsidRDefault="003D2AF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5E66A1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округа:</w:t>
      </w:r>
      <w:r w:rsidR="00F37688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</w:t>
      </w:r>
      <w:r w:rsidR="00F056E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="00E261CB"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3D2AFF" w:rsidRDefault="003D2AFF" w:rsidP="00230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5619" w:rsidRDefault="00F35619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F35619" w:rsidSect="00F37688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C03F42" w:rsidRDefault="00C03F42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F61AB" w:rsidRDefault="00E37E28" w:rsidP="00230E48">
      <w:pPr>
        <w:rPr>
          <w:rFonts w:ascii="Times New Roman" w:eastAsia="Calibri" w:hAnsi="Times New Roman"/>
        </w:rPr>
      </w:pPr>
      <w:r w:rsidRPr="00E37E28">
        <w:rPr>
          <w:rFonts w:ascii="Times New Roman" w:eastAsia="Calibri" w:hAnsi="Times New Roman"/>
        </w:rPr>
        <w:t xml:space="preserve">                                       </w:t>
      </w:r>
    </w:p>
    <w:p w:rsidR="00AF61AB" w:rsidRDefault="00AF61AB" w:rsidP="00230E48">
      <w:pPr>
        <w:rPr>
          <w:rFonts w:ascii="Times New Roman" w:eastAsia="Calibri" w:hAnsi="Times New Roman"/>
        </w:rPr>
      </w:pPr>
    </w:p>
    <w:p w:rsidR="00E42F0B" w:rsidRPr="00E261CB" w:rsidRDefault="000D12CF" w:rsidP="00E42F0B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42F0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1 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округа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6576B">
        <w:rPr>
          <w:rFonts w:ascii="Times New Roman" w:eastAsia="Calibri" w:hAnsi="Times New Roman"/>
          <w:sz w:val="28"/>
          <w:szCs w:val="28"/>
        </w:rPr>
        <w:t xml:space="preserve">       от 04.08.2023</w:t>
      </w:r>
      <w:r w:rsidRPr="00996278">
        <w:rPr>
          <w:rFonts w:ascii="Times New Roman" w:eastAsia="Calibri" w:hAnsi="Times New Roman"/>
          <w:sz w:val="28"/>
          <w:szCs w:val="28"/>
        </w:rPr>
        <w:t xml:space="preserve"> № </w:t>
      </w:r>
      <w:r w:rsidR="00D6576B">
        <w:rPr>
          <w:rFonts w:ascii="Times New Roman" w:eastAsia="Calibri" w:hAnsi="Times New Roman"/>
          <w:sz w:val="28"/>
          <w:szCs w:val="28"/>
        </w:rPr>
        <w:t>965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55071C">
        <w:rPr>
          <w:rFonts w:ascii="Times New Roman" w:eastAsia="Calibri" w:hAnsi="Times New Roman"/>
          <w:sz w:val="28"/>
          <w:szCs w:val="28"/>
        </w:rPr>
        <w:t>Приложение</w:t>
      </w:r>
      <w:r>
        <w:rPr>
          <w:rFonts w:ascii="Times New Roman" w:eastAsia="Calibri" w:hAnsi="Times New Roman"/>
          <w:sz w:val="28"/>
          <w:szCs w:val="28"/>
        </w:rPr>
        <w:t xml:space="preserve"> 1</w:t>
      </w:r>
      <w:r w:rsidRPr="0055071C">
        <w:rPr>
          <w:rFonts w:ascii="Times New Roman" w:eastAsia="Calibri" w:hAnsi="Times New Roman"/>
          <w:sz w:val="28"/>
          <w:szCs w:val="28"/>
        </w:rPr>
        <w:t xml:space="preserve"> 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к муниципальной программе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55071C" w:rsidRDefault="00E42F0B" w:rsidP="00E42F0B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Общий объем финансирования программы в 2023-2027 годы  из средств бюджета  округа составляет </w:t>
      </w:r>
      <w:r w:rsidR="00676CD0">
        <w:rPr>
          <w:rFonts w:ascii="Times New Roman" w:hAnsi="Times New Roman"/>
          <w:b/>
          <w:color w:val="000000"/>
          <w:sz w:val="28"/>
          <w:szCs w:val="20"/>
          <w:lang w:eastAsia="ru-RU"/>
        </w:rPr>
        <w:t>4197</w:t>
      </w: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>,</w:t>
      </w:r>
      <w:r w:rsidR="00676CD0">
        <w:rPr>
          <w:rFonts w:ascii="Times New Roman" w:hAnsi="Times New Roman"/>
          <w:b/>
          <w:color w:val="000000"/>
          <w:sz w:val="28"/>
          <w:szCs w:val="20"/>
          <w:lang w:eastAsia="ru-RU"/>
        </w:rPr>
        <w:t>6</w:t>
      </w: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тыс</w:t>
      </w:r>
      <w:r w:rsidRPr="0055071C">
        <w:rPr>
          <w:rFonts w:ascii="Times New Roman" w:hAnsi="Times New Roman"/>
          <w:color w:val="000000"/>
          <w:sz w:val="28"/>
          <w:szCs w:val="20"/>
          <w:lang w:eastAsia="ru-RU"/>
        </w:rPr>
        <w:t>. рублей.</w:t>
      </w:r>
    </w:p>
    <w:p w:rsidR="00E42F0B" w:rsidRPr="0055071C" w:rsidRDefault="00E42F0B" w:rsidP="00E42F0B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Объемы ассигнований из бюджета округа подлежат ежегодному уточнению, исходя из возможностей доходной базы бюджета 2023 – 2027 годов.</w:t>
      </w:r>
    </w:p>
    <w:p w:rsidR="00E42F0B" w:rsidRPr="0055071C" w:rsidRDefault="00E42F0B" w:rsidP="00E42F0B">
      <w:pPr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193"/>
        <w:gridCol w:w="1862"/>
        <w:gridCol w:w="2193"/>
        <w:gridCol w:w="1877"/>
        <w:gridCol w:w="1864"/>
        <w:gridCol w:w="2428"/>
      </w:tblGrid>
      <w:tr w:rsidR="00E42F0B" w:rsidRPr="0055071C" w:rsidTr="00E42F0B">
        <w:trPr>
          <w:trHeight w:val="290"/>
        </w:trPr>
        <w:tc>
          <w:tcPr>
            <w:tcW w:w="5193" w:type="dxa"/>
            <w:vMerge w:val="restart"/>
          </w:tcPr>
          <w:p w:rsidR="00E42F0B" w:rsidRPr="0055071C" w:rsidRDefault="00E42F0B" w:rsidP="00E42F0B"/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0224" w:type="dxa"/>
            <w:gridSpan w:val="5"/>
            <w:shd w:val="clear" w:color="auto" w:fill="auto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E42F0B" w:rsidRPr="0055071C" w:rsidTr="00E42F0B">
        <w:trPr>
          <w:trHeight w:val="495"/>
        </w:trPr>
        <w:tc>
          <w:tcPr>
            <w:tcW w:w="5193" w:type="dxa"/>
            <w:vMerge/>
          </w:tcPr>
          <w:p w:rsidR="00E42F0B" w:rsidRPr="0055071C" w:rsidRDefault="00E42F0B" w:rsidP="00E42F0B"/>
        </w:tc>
        <w:tc>
          <w:tcPr>
            <w:tcW w:w="1862" w:type="dxa"/>
            <w:shd w:val="clear" w:color="auto" w:fill="auto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2023</w:t>
            </w:r>
          </w:p>
          <w:p w:rsidR="00E42F0B" w:rsidRPr="0055071C" w:rsidRDefault="00E42F0B" w:rsidP="00E42F0B">
            <w:pPr>
              <w:rPr>
                <w:b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77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864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2428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2027</w:t>
            </w:r>
          </w:p>
        </w:tc>
      </w:tr>
      <w:tr w:rsidR="00E42F0B" w:rsidRPr="0055071C" w:rsidTr="00E42F0B">
        <w:tc>
          <w:tcPr>
            <w:tcW w:w="5193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3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4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28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6</w:t>
            </w:r>
          </w:p>
        </w:tc>
      </w:tr>
      <w:tr w:rsidR="00E42F0B" w:rsidRPr="0055071C" w:rsidTr="00E42F0B">
        <w:tc>
          <w:tcPr>
            <w:tcW w:w="5193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всего</w:t>
            </w:r>
          </w:p>
        </w:tc>
        <w:tc>
          <w:tcPr>
            <w:tcW w:w="1862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>
              <w:rPr>
                <w:b/>
              </w:rPr>
              <w:t>929</w:t>
            </w:r>
            <w:r w:rsidRPr="0055071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2193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77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64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  <w:tc>
          <w:tcPr>
            <w:tcW w:w="2428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</w:tr>
      <w:tr w:rsidR="00E42F0B" w:rsidRPr="0055071C" w:rsidTr="00E42F0B">
        <w:tc>
          <w:tcPr>
            <w:tcW w:w="5193" w:type="dxa"/>
            <w:tcBorders>
              <w:bottom w:val="single" w:sz="4" w:space="0" w:color="000000"/>
            </w:tcBorders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>
              <w:rPr>
                <w:b/>
              </w:rPr>
              <w:t>929</w:t>
            </w:r>
            <w:r w:rsidRPr="0055071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</w:tr>
    </w:tbl>
    <w:p w:rsidR="00E42F0B" w:rsidRPr="0055071C" w:rsidRDefault="00E42F0B" w:rsidP="00E42F0B">
      <w:pPr>
        <w:jc w:val="right"/>
        <w:rPr>
          <w:color w:val="000000"/>
          <w:szCs w:val="20"/>
          <w:lang w:eastAsia="ru-RU"/>
        </w:rPr>
      </w:pPr>
      <w:r w:rsidRPr="0055071C">
        <w:rPr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0"/>
          <w:lang w:eastAsia="ru-RU"/>
        </w:rPr>
        <w:t>».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E261CB" w:rsidRDefault="00E42F0B" w:rsidP="00E42F0B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2 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округа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6576B">
        <w:rPr>
          <w:rFonts w:ascii="Times New Roman" w:eastAsia="Calibri" w:hAnsi="Times New Roman"/>
          <w:sz w:val="28"/>
          <w:szCs w:val="28"/>
        </w:rPr>
        <w:t xml:space="preserve">       от 04.08.2023</w:t>
      </w:r>
      <w:r w:rsidRPr="00996278">
        <w:rPr>
          <w:rFonts w:ascii="Times New Roman" w:eastAsia="Calibri" w:hAnsi="Times New Roman"/>
          <w:sz w:val="28"/>
          <w:szCs w:val="28"/>
        </w:rPr>
        <w:t xml:space="preserve"> № </w:t>
      </w:r>
      <w:r w:rsidR="00D6576B">
        <w:rPr>
          <w:rFonts w:ascii="Times New Roman" w:eastAsia="Calibri" w:hAnsi="Times New Roman"/>
          <w:sz w:val="28"/>
          <w:szCs w:val="28"/>
        </w:rPr>
        <w:t>965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DC187A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DC187A">
        <w:rPr>
          <w:rFonts w:ascii="Times New Roman" w:eastAsia="Calibri" w:hAnsi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2</w:t>
      </w:r>
      <w:r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к муниципальной программе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55071C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</w:t>
      </w:r>
    </w:p>
    <w:p w:rsidR="00E42F0B" w:rsidRPr="0055071C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(тыс. руб.) </w:t>
      </w:r>
    </w:p>
    <w:p w:rsidR="00E42F0B" w:rsidRPr="0055071C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      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190"/>
        <w:gridCol w:w="1863"/>
        <w:gridCol w:w="2194"/>
        <w:gridCol w:w="1877"/>
        <w:gridCol w:w="1865"/>
        <w:gridCol w:w="1865"/>
      </w:tblGrid>
      <w:tr w:rsidR="00E42F0B" w:rsidRPr="0055071C" w:rsidTr="00E42F0B">
        <w:trPr>
          <w:trHeight w:val="290"/>
        </w:trPr>
        <w:tc>
          <w:tcPr>
            <w:tcW w:w="5190" w:type="dxa"/>
            <w:vMerge w:val="restart"/>
          </w:tcPr>
          <w:p w:rsidR="00E42F0B" w:rsidRPr="0055071C" w:rsidRDefault="00E42F0B" w:rsidP="00E42F0B">
            <w:r w:rsidRPr="0055071C">
              <w:rPr>
                <w:rFonts w:ascii="Times New Roman" w:hAnsi="Times New Roman"/>
                <w:b/>
                <w:sz w:val="28"/>
              </w:rPr>
              <w:t xml:space="preserve">      </w:t>
            </w:r>
          </w:p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9664" w:type="dxa"/>
            <w:gridSpan w:val="5"/>
            <w:shd w:val="clear" w:color="auto" w:fill="auto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E42F0B" w:rsidRPr="0055071C" w:rsidTr="00E42F0B">
        <w:trPr>
          <w:trHeight w:val="495"/>
        </w:trPr>
        <w:tc>
          <w:tcPr>
            <w:tcW w:w="5190" w:type="dxa"/>
            <w:vMerge/>
          </w:tcPr>
          <w:p w:rsidR="00E42F0B" w:rsidRPr="0055071C" w:rsidRDefault="00E42F0B" w:rsidP="00E42F0B"/>
        </w:tc>
        <w:tc>
          <w:tcPr>
            <w:tcW w:w="1863" w:type="dxa"/>
            <w:shd w:val="clear" w:color="auto" w:fill="auto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2023</w:t>
            </w:r>
          </w:p>
          <w:p w:rsidR="00E42F0B" w:rsidRPr="0055071C" w:rsidRDefault="00E42F0B" w:rsidP="00E42F0B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77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865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865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2027</w:t>
            </w:r>
          </w:p>
        </w:tc>
      </w:tr>
      <w:tr w:rsidR="00E42F0B" w:rsidRPr="0055071C" w:rsidTr="00E42F0B">
        <w:tc>
          <w:tcPr>
            <w:tcW w:w="5190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4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5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5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6</w:t>
            </w:r>
          </w:p>
        </w:tc>
      </w:tr>
      <w:tr w:rsidR="00E42F0B" w:rsidRPr="0055071C" w:rsidTr="00E42F0B">
        <w:tc>
          <w:tcPr>
            <w:tcW w:w="5190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всего</w:t>
            </w:r>
          </w:p>
        </w:tc>
        <w:tc>
          <w:tcPr>
            <w:tcW w:w="1863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>
              <w:rPr>
                <w:b/>
              </w:rPr>
              <w:t>929,6</w:t>
            </w:r>
          </w:p>
        </w:tc>
        <w:tc>
          <w:tcPr>
            <w:tcW w:w="2194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77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65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  <w:tc>
          <w:tcPr>
            <w:tcW w:w="1865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</w:tr>
      <w:tr w:rsidR="00E42F0B" w:rsidRPr="0055071C" w:rsidTr="00E42F0B">
        <w:tc>
          <w:tcPr>
            <w:tcW w:w="5190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 xml:space="preserve"> бюджет округа</w:t>
            </w:r>
          </w:p>
        </w:tc>
        <w:tc>
          <w:tcPr>
            <w:tcW w:w="1863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E42F0B">
              <w:rPr>
                <w:b/>
              </w:rPr>
              <w:t>929,6</w:t>
            </w:r>
          </w:p>
        </w:tc>
        <w:tc>
          <w:tcPr>
            <w:tcW w:w="2194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77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65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  <w:tc>
          <w:tcPr>
            <w:tcW w:w="1865" w:type="dxa"/>
            <w:shd w:val="clear" w:color="auto" w:fill="FFFFFF" w:themeFill="background1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</w:tr>
      <w:tr w:rsidR="00E42F0B" w:rsidRPr="0055071C" w:rsidTr="00E42F0B">
        <w:tc>
          <w:tcPr>
            <w:tcW w:w="5190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63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  <w:tr w:rsidR="00E42F0B" w:rsidRPr="0055071C" w:rsidTr="00E42F0B">
        <w:tc>
          <w:tcPr>
            <w:tcW w:w="5190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63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  <w:tr w:rsidR="00E42F0B" w:rsidRPr="0055071C" w:rsidTr="00E42F0B">
        <w:tc>
          <w:tcPr>
            <w:tcW w:w="5190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бюджеты муниципальных образований округа</w:t>
            </w:r>
          </w:p>
        </w:tc>
        <w:tc>
          <w:tcPr>
            <w:tcW w:w="1863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  <w:tr w:rsidR="00E42F0B" w:rsidRPr="0055071C" w:rsidTr="00E42F0B">
        <w:tc>
          <w:tcPr>
            <w:tcW w:w="5190" w:type="dxa"/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863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  <w:tr w:rsidR="00E42F0B" w:rsidRPr="0055071C" w:rsidTr="00E42F0B">
        <w:tc>
          <w:tcPr>
            <w:tcW w:w="5190" w:type="dxa"/>
            <w:tcBorders>
              <w:bottom w:val="single" w:sz="4" w:space="0" w:color="000000"/>
            </w:tcBorders>
          </w:tcPr>
          <w:p w:rsidR="00E42F0B" w:rsidRPr="0055071C" w:rsidRDefault="00E42F0B" w:rsidP="00E42F0B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E42F0B" w:rsidRPr="0055071C" w:rsidRDefault="00E42F0B" w:rsidP="00E42F0B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</w:tbl>
    <w:p w:rsidR="00E42F0B" w:rsidRPr="0055071C" w:rsidRDefault="00E42F0B" w:rsidP="00E42F0B">
      <w:pPr>
        <w:jc w:val="right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5071C">
        <w:rPr>
          <w:color w:val="00000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color w:val="000000"/>
          <w:szCs w:val="20"/>
          <w:lang w:eastAsia="ru-RU"/>
        </w:rPr>
        <w:t>».</w:t>
      </w:r>
      <w:r w:rsidRPr="0055071C">
        <w:rPr>
          <w:color w:val="000000"/>
          <w:szCs w:val="20"/>
          <w:lang w:eastAsia="ru-RU"/>
        </w:rPr>
        <w:t xml:space="preserve">                                          </w:t>
      </w:r>
    </w:p>
    <w:p w:rsidR="00E42F0B" w:rsidRPr="0055071C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E42F0B" w:rsidRPr="0055071C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DC187A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3</w:t>
      </w:r>
      <w:r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E42F0B" w:rsidRPr="00DC187A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округа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6576B">
        <w:rPr>
          <w:rFonts w:ascii="Times New Roman" w:eastAsia="Calibri" w:hAnsi="Times New Roman"/>
          <w:sz w:val="28"/>
          <w:szCs w:val="28"/>
        </w:rPr>
        <w:t xml:space="preserve">       от 04.08.2023 № 965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DC187A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DC187A">
        <w:rPr>
          <w:rFonts w:ascii="Times New Roman" w:eastAsia="Calibri" w:hAnsi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5</w:t>
      </w:r>
      <w:r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к муниципальной программе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DC187A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DC187A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Ресурсное обеспечение и перечень мероприятий муниципальной программы за счет средств бюджета округа </w:t>
      </w:r>
    </w:p>
    <w:p w:rsidR="00E42F0B" w:rsidRPr="00DC187A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DC187A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(тыс. рублей) </w:t>
      </w:r>
    </w:p>
    <w:p w:rsidR="00E42F0B" w:rsidRPr="00DC187A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DC187A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      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342"/>
        <w:gridCol w:w="1459"/>
        <w:gridCol w:w="6"/>
        <w:gridCol w:w="1587"/>
        <w:gridCol w:w="1383"/>
        <w:gridCol w:w="1220"/>
        <w:gridCol w:w="1220"/>
      </w:tblGrid>
      <w:tr w:rsidR="00E42F0B" w:rsidRPr="00DC187A" w:rsidTr="00E42F0B">
        <w:trPr>
          <w:trHeight w:val="220"/>
        </w:trPr>
        <w:tc>
          <w:tcPr>
            <w:tcW w:w="1526" w:type="dxa"/>
            <w:vMerge w:val="restart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342" w:type="dxa"/>
            <w:vMerge w:val="restart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6875" w:type="dxa"/>
            <w:gridSpan w:val="6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42F0B" w:rsidRPr="00DC187A" w:rsidTr="00E42F0B">
        <w:trPr>
          <w:trHeight w:val="165"/>
        </w:trPr>
        <w:tc>
          <w:tcPr>
            <w:tcW w:w="1526" w:type="dxa"/>
            <w:vMerge/>
          </w:tcPr>
          <w:p w:rsidR="00E42F0B" w:rsidRPr="00DC187A" w:rsidRDefault="00E42F0B" w:rsidP="00E42F0B"/>
        </w:tc>
        <w:tc>
          <w:tcPr>
            <w:tcW w:w="4111" w:type="dxa"/>
            <w:vMerge/>
          </w:tcPr>
          <w:p w:rsidR="00E42F0B" w:rsidRPr="00DC187A" w:rsidRDefault="00E42F0B" w:rsidP="00E42F0B"/>
        </w:tc>
        <w:tc>
          <w:tcPr>
            <w:tcW w:w="2342" w:type="dxa"/>
            <w:vMerge/>
          </w:tcPr>
          <w:p w:rsidR="00E42F0B" w:rsidRPr="00DC187A" w:rsidRDefault="00E42F0B" w:rsidP="00E42F0B"/>
        </w:tc>
        <w:tc>
          <w:tcPr>
            <w:tcW w:w="1459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2023 год</w:t>
            </w:r>
          </w:p>
        </w:tc>
        <w:tc>
          <w:tcPr>
            <w:tcW w:w="1593" w:type="dxa"/>
            <w:gridSpan w:val="2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2024 год</w:t>
            </w:r>
          </w:p>
        </w:tc>
        <w:tc>
          <w:tcPr>
            <w:tcW w:w="1383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2025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2026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2027 год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Всего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929,6</w:t>
            </w:r>
          </w:p>
        </w:tc>
        <w:tc>
          <w:tcPr>
            <w:tcW w:w="1587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799,0</w:t>
            </w:r>
          </w:p>
        </w:tc>
        <w:tc>
          <w:tcPr>
            <w:tcW w:w="1383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799,0</w:t>
            </w:r>
          </w:p>
        </w:tc>
        <w:tc>
          <w:tcPr>
            <w:tcW w:w="1220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835,0</w:t>
            </w:r>
          </w:p>
        </w:tc>
        <w:tc>
          <w:tcPr>
            <w:tcW w:w="1220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835,0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Основное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Осуществление целевой подготовки кадров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42F0B" w:rsidRPr="00DC187A" w:rsidRDefault="00D205B7" w:rsidP="00E42F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42F0B"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383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Проведение информационной выставки «Выпускник»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Проведение дней открытых дверей в образовательных учреждениях округа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управление образования администрации округа, ОЗН (по </w:t>
            </w:r>
            <w:r w:rsidRPr="00DC187A"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DC187A">
              <w:rPr>
                <w:rFonts w:ascii="Times New Roman" w:hAnsi="Times New Roman"/>
              </w:rPr>
              <w:t>обучение по специальностям</w:t>
            </w:r>
            <w:proofErr w:type="gramEnd"/>
            <w:r w:rsidRPr="00DC187A">
              <w:rPr>
                <w:rFonts w:ascii="Times New Roman" w:hAnsi="Times New Roman"/>
              </w:rPr>
              <w:t>, востребованным в округе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округа,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Белозерского муниципального округа 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1.4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Создание информационной базы о выпускниках школ округа, 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jc w:val="both"/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      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руководители муниципальных учреждений округа (по согласованию)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1.6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округа, на предприятиях, учреждениях и организациях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 муниципальных учреждений округа (по согласованию)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1.7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42F0B" w:rsidRPr="00DC187A" w:rsidRDefault="00E42F0B" w:rsidP="00E42F0B">
            <w:r w:rsidRPr="00DC187A">
              <w:rPr>
                <w:rFonts w:ascii="Times New Roman" w:hAnsi="Times New Roman"/>
              </w:rPr>
              <w:t>Проведение комиссий по целевому направлению на обучение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 управление образования администрации округа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r w:rsidRPr="00DC187A"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r w:rsidRPr="00DC187A"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r w:rsidRPr="00DC187A"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1.8.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Целевое обучение (выплата стипендии)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Белозерского муниципального </w:t>
            </w:r>
            <w:r w:rsidRPr="00DC187A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465" w:type="dxa"/>
            <w:gridSpan w:val="2"/>
          </w:tcPr>
          <w:p w:rsidR="00E42F0B" w:rsidRPr="00DC187A" w:rsidRDefault="00D205B7" w:rsidP="00E42F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260</w:t>
            </w:r>
            <w:r w:rsidR="00E42F0B" w:rsidRPr="00DC187A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lastRenderedPageBreak/>
              <w:t>Мероприятие 2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D205B7" w:rsidP="00D20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="00E42F0B" w:rsidRPr="00DC187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2.2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2.4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Изучение положительного опыта реализации кадровой политики в других районах и округах области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2.5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Освещение на страницах районной газеты «</w:t>
            </w:r>
            <w:proofErr w:type="spellStart"/>
            <w:r w:rsidRPr="00DC187A">
              <w:rPr>
                <w:rFonts w:ascii="Times New Roman" w:hAnsi="Times New Roman"/>
              </w:rPr>
              <w:t>Белозерье</w:t>
            </w:r>
            <w:proofErr w:type="spellEnd"/>
            <w:r w:rsidRPr="00DC187A"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2.6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руководители и специалисты муниципальных учреждений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2.7.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D205B7" w:rsidP="00D20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E42F0B" w:rsidRPr="00DC187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Комплекс стимулирующих мер по закреплению кадров в округе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Белозерского муниципального </w:t>
            </w:r>
            <w:r w:rsidRPr="00DC187A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lastRenderedPageBreak/>
              <w:t>479,0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480,0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480,0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516,0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516,0</w:t>
            </w:r>
          </w:p>
        </w:tc>
      </w:tr>
      <w:tr w:rsidR="00E42F0B" w:rsidRPr="00DC187A" w:rsidTr="00E42F0B">
        <w:trPr>
          <w:trHeight w:val="2591"/>
        </w:trPr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lastRenderedPageBreak/>
              <w:t>Мероприятие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D205B7" w:rsidP="00D20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E42F0B" w:rsidRPr="00DC187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  <w:sz w:val="24"/>
              </w:rPr>
            </w:pPr>
            <w:r w:rsidRPr="00DC187A"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  <w:sz w:val="24"/>
              </w:rPr>
            </w:pPr>
            <w:r w:rsidRPr="00DC187A"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  <w:sz w:val="24"/>
              </w:rPr>
            </w:pPr>
            <w:r w:rsidRPr="00DC187A">
              <w:rPr>
                <w:rFonts w:ascii="Times New Roman" w:hAnsi="Times New Roman"/>
                <w:sz w:val="24"/>
              </w:rPr>
              <w:t>144,0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  <w:sz w:val="24"/>
              </w:rPr>
            </w:pPr>
            <w:r w:rsidRPr="00DC187A">
              <w:rPr>
                <w:rFonts w:ascii="Times New Roman" w:hAnsi="Times New Roman"/>
                <w:sz w:val="24"/>
              </w:rPr>
              <w:t>144,0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3.2.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Анализ и прогнозирование потребностей в кадрах на основе представленных данных муниципальными учреждениями, ЦЗН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 руководители муниципальных учреждений, ЦЗН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3.3.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Проведение торжественного мероприятия в рамках  Праздника Труда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аппарат Представительного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D205B7" w:rsidP="00E42F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E42F0B" w:rsidRPr="00DC187A" w:rsidTr="00E42F0B">
        <w:tc>
          <w:tcPr>
            <w:tcW w:w="1526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3.4.</w:t>
            </w:r>
          </w:p>
        </w:tc>
        <w:tc>
          <w:tcPr>
            <w:tcW w:w="4111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Выплаты почетным гражданам</w:t>
            </w:r>
          </w:p>
        </w:tc>
        <w:tc>
          <w:tcPr>
            <w:tcW w:w="2342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аппарат Представительного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1</w:t>
            </w:r>
            <w:r w:rsidRPr="00DC187A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372,0</w:t>
            </w:r>
          </w:p>
        </w:tc>
        <w:tc>
          <w:tcPr>
            <w:tcW w:w="1383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372,0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372,0</w:t>
            </w:r>
          </w:p>
        </w:tc>
        <w:tc>
          <w:tcPr>
            <w:tcW w:w="1220" w:type="dxa"/>
          </w:tcPr>
          <w:p w:rsidR="00E42F0B" w:rsidRPr="00DC187A" w:rsidRDefault="00E42F0B" w:rsidP="00E42F0B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372,0</w:t>
            </w:r>
          </w:p>
        </w:tc>
      </w:tr>
    </w:tbl>
    <w:p w:rsidR="00E42F0B" w:rsidRPr="00DC187A" w:rsidRDefault="00E42F0B" w:rsidP="00E42F0B">
      <w:pPr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C187A">
        <w:rPr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DC187A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F0B" w:rsidRPr="00DC187A" w:rsidRDefault="00E42F0B" w:rsidP="00E42F0B">
      <w:pPr>
        <w:rPr>
          <w:color w:val="000000"/>
          <w:szCs w:val="20"/>
          <w:lang w:eastAsia="ru-RU"/>
        </w:rPr>
      </w:pPr>
    </w:p>
    <w:p w:rsidR="00E42F0B" w:rsidRPr="00DC187A" w:rsidRDefault="00E42F0B" w:rsidP="00E42F0B">
      <w:pPr>
        <w:jc w:val="right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>».</w:t>
      </w:r>
    </w:p>
    <w:p w:rsidR="00E42F0B" w:rsidRPr="00DC187A" w:rsidRDefault="00E42F0B" w:rsidP="00E42F0B">
      <w:pPr>
        <w:rPr>
          <w:color w:val="000000"/>
          <w:szCs w:val="20"/>
          <w:lang w:eastAsia="ru-RU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DC187A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  <w:r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E42F0B" w:rsidRPr="00DC187A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округа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6576B">
        <w:rPr>
          <w:rFonts w:ascii="Times New Roman" w:eastAsia="Calibri" w:hAnsi="Times New Roman"/>
          <w:sz w:val="28"/>
          <w:szCs w:val="28"/>
        </w:rPr>
        <w:t xml:space="preserve">       от 04.08.2023 № 965</w:t>
      </w:r>
      <w:bookmarkStart w:id="0" w:name="_GoBack"/>
      <w:bookmarkEnd w:id="0"/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DC187A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DC187A">
        <w:rPr>
          <w:rFonts w:ascii="Times New Roman" w:eastAsia="Calibri" w:hAnsi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6</w:t>
      </w:r>
      <w:r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к муниципальной программе</w:t>
      </w:r>
    </w:p>
    <w:p w:rsidR="00E42F0B" w:rsidRDefault="00E42F0B" w:rsidP="00E42F0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42F0B" w:rsidRPr="00684614" w:rsidRDefault="00E42F0B" w:rsidP="00E42F0B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684614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План реализации муниципальной программы «Основные направления кадровой политики </w:t>
      </w:r>
    </w:p>
    <w:p w:rsidR="00E42F0B" w:rsidRPr="00684614" w:rsidRDefault="00E42F0B" w:rsidP="00E42F0B">
      <w:pPr>
        <w:rPr>
          <w:b/>
          <w:color w:val="000000"/>
          <w:szCs w:val="20"/>
          <w:lang w:eastAsia="ru-RU"/>
        </w:rPr>
      </w:pPr>
      <w:r w:rsidRPr="00684614">
        <w:rPr>
          <w:rFonts w:ascii="Times New Roman" w:hAnsi="Times New Roman"/>
          <w:b/>
          <w:color w:val="000000"/>
          <w:sz w:val="28"/>
          <w:szCs w:val="20"/>
          <w:lang w:eastAsia="ru-RU"/>
        </w:rPr>
        <w:t>в Белозерском муниципальном округе на 2023-2027 годы»</w:t>
      </w:r>
    </w:p>
    <w:p w:rsidR="00E42F0B" w:rsidRPr="00684614" w:rsidRDefault="00E42F0B" w:rsidP="00E42F0B">
      <w:pPr>
        <w:rPr>
          <w:color w:val="000000"/>
          <w:szCs w:val="20"/>
          <w:lang w:eastAsia="ru-RU"/>
        </w:rPr>
      </w:pPr>
    </w:p>
    <w:tbl>
      <w:tblPr>
        <w:tblStyle w:val="8"/>
        <w:tblW w:w="15274" w:type="dxa"/>
        <w:tblLayout w:type="fixed"/>
        <w:tblLook w:val="04A0" w:firstRow="1" w:lastRow="0" w:firstColumn="1" w:lastColumn="0" w:noHBand="0" w:noVBand="1"/>
      </w:tblPr>
      <w:tblGrid>
        <w:gridCol w:w="3652"/>
        <w:gridCol w:w="2529"/>
        <w:gridCol w:w="1425"/>
        <w:gridCol w:w="1530"/>
        <w:gridCol w:w="3446"/>
        <w:gridCol w:w="992"/>
        <w:gridCol w:w="851"/>
        <w:gridCol w:w="849"/>
      </w:tblGrid>
      <w:tr w:rsidR="00E42F0B" w:rsidRPr="00684614" w:rsidTr="00D205B7">
        <w:trPr>
          <w:trHeight w:val="384"/>
        </w:trPr>
        <w:tc>
          <w:tcPr>
            <w:tcW w:w="3652" w:type="dxa"/>
            <w:vMerge w:val="restart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29" w:type="dxa"/>
            <w:vMerge w:val="restart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</w:p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</w:p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Срок</w:t>
            </w:r>
          </w:p>
          <w:p w:rsidR="00E42F0B" w:rsidRPr="00684614" w:rsidRDefault="00E42F0B" w:rsidP="00E42F0B">
            <w:pPr>
              <w:rPr>
                <w:b/>
              </w:rPr>
            </w:pPr>
          </w:p>
        </w:tc>
        <w:tc>
          <w:tcPr>
            <w:tcW w:w="3446" w:type="dxa"/>
            <w:vMerge w:val="restart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</w:p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692" w:type="dxa"/>
            <w:gridSpan w:val="3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</w:p>
          <w:p w:rsidR="00E42F0B" w:rsidRPr="00684614" w:rsidRDefault="00E42F0B" w:rsidP="00E42F0B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Финансирование (тыс. руб.)</w:t>
            </w:r>
          </w:p>
        </w:tc>
      </w:tr>
      <w:tr w:rsidR="00E42F0B" w:rsidRPr="00684614" w:rsidTr="00D205B7">
        <w:trPr>
          <w:trHeight w:val="981"/>
        </w:trPr>
        <w:tc>
          <w:tcPr>
            <w:tcW w:w="3652" w:type="dxa"/>
            <w:vMerge/>
          </w:tcPr>
          <w:p w:rsidR="00E42F0B" w:rsidRPr="00684614" w:rsidRDefault="00E42F0B" w:rsidP="00E42F0B"/>
        </w:tc>
        <w:tc>
          <w:tcPr>
            <w:tcW w:w="2529" w:type="dxa"/>
            <w:vMerge/>
          </w:tcPr>
          <w:p w:rsidR="00E42F0B" w:rsidRPr="00684614" w:rsidRDefault="00E42F0B" w:rsidP="00E42F0B"/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446" w:type="dxa"/>
            <w:vMerge/>
          </w:tcPr>
          <w:p w:rsidR="00E42F0B" w:rsidRPr="00684614" w:rsidRDefault="00E42F0B" w:rsidP="00E42F0B"/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2025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  <w:b/>
              </w:rPr>
              <w:t>Основное мероприятие 1</w:t>
            </w:r>
            <w:r w:rsidRPr="00684614">
              <w:rPr>
                <w:rFonts w:ascii="Times New Roman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 управление образования администрации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992" w:type="dxa"/>
          </w:tcPr>
          <w:p w:rsidR="00E42F0B" w:rsidRPr="00684614" w:rsidRDefault="00D205B7" w:rsidP="00E42F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="00E42F0B"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Мероприятие 1.1 Проведение информационной выставки «Выпускник»</w:t>
            </w:r>
            <w:r w:rsidRPr="00684614">
              <w:t xml:space="preserve"> 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Управление образования, администрации округа ЦЗН (по согласованию)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proofErr w:type="gramStart"/>
            <w:r w:rsidRPr="00684614">
              <w:rPr>
                <w:rFonts w:ascii="Times New Roman" w:hAnsi="Times New Roman"/>
              </w:rPr>
              <w:t>Доведение до обучающихся в образовательных учреждениях округа информации о высших учебных заведениях Вологодской области</w:t>
            </w:r>
            <w:proofErr w:type="gramEnd"/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1.2 Проведение дней открытых дверей в образовательных учреждениях округа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Управление образования администрации округа, ЦЗН (по согласованию)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округа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1.3</w:t>
            </w:r>
          </w:p>
          <w:p w:rsidR="00E42F0B" w:rsidRPr="00684614" w:rsidRDefault="00E42F0B" w:rsidP="00E42F0B">
            <w:pPr>
              <w:jc w:val="both"/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Проведение индивидуальной </w:t>
            </w:r>
            <w:r w:rsidRPr="00684614">
              <w:rPr>
                <w:rFonts w:ascii="Times New Roman" w:hAnsi="Times New Roman"/>
              </w:rPr>
              <w:lastRenderedPageBreak/>
              <w:t xml:space="preserve">работы с учащимися старших классов образовательных учреждений по направлению на целевое </w:t>
            </w:r>
            <w:proofErr w:type="gramStart"/>
            <w:r w:rsidRPr="00684614">
              <w:rPr>
                <w:rFonts w:ascii="Times New Roman" w:hAnsi="Times New Roman"/>
              </w:rPr>
              <w:t>обучение по специальностям</w:t>
            </w:r>
            <w:proofErr w:type="gramEnd"/>
            <w:r w:rsidRPr="00684614">
              <w:rPr>
                <w:rFonts w:ascii="Times New Roman" w:hAnsi="Times New Roman"/>
              </w:rPr>
              <w:t>, востребованным в округе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lastRenderedPageBreak/>
              <w:t xml:space="preserve">Управление образования </w:t>
            </w:r>
            <w:r w:rsidRPr="00684614">
              <w:rPr>
                <w:rFonts w:ascii="Times New Roman" w:hAnsi="Times New Roman"/>
              </w:rPr>
              <w:lastRenderedPageBreak/>
              <w:t xml:space="preserve">администрации округа 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Создание заинтересованности у учащихся и определение круга </w:t>
            </w:r>
            <w:r w:rsidRPr="00684614">
              <w:rPr>
                <w:rFonts w:ascii="Times New Roman" w:hAnsi="Times New Roman"/>
              </w:rPr>
              <w:lastRenderedPageBreak/>
              <w:t xml:space="preserve">лиц, желающих вернуться после обучения для работы в Белозерский округ по востребованным специальностям  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lastRenderedPageBreak/>
              <w:t>Мероприятие 1.4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Создание информационной базы о выпускниках школ округа,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Управление образования администрации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округа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1.5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Руководители, руководители муниципальных учреждений округа (по согласованию)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Комплектование учреждений, организаций, предприятий Белозерского округа квалифицированными кадрами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1.6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округа, на предприятиях, учреждениях и организациях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Руководители муниципальных учреждений округа (по согласованию)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1.7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Проведение заседаний комиссии по целевому направлению на обучение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1.8.</w:t>
            </w:r>
          </w:p>
          <w:p w:rsidR="00E42F0B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Целевое обучение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 (выплата стипендии)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Обеспечение более тесного взаимодействия Представительного Собрания округа, администрации округа, иных органов местного самоуправления, предприятий, учреждений и организаций всех </w:t>
            </w:r>
            <w:r w:rsidRPr="00684614">
              <w:rPr>
                <w:rFonts w:ascii="Times New Roman" w:hAnsi="Times New Roman"/>
              </w:rPr>
              <w:lastRenderedPageBreak/>
              <w:t>форм собственности по решению кадровых вопросов</w:t>
            </w:r>
          </w:p>
        </w:tc>
        <w:tc>
          <w:tcPr>
            <w:tcW w:w="992" w:type="dxa"/>
          </w:tcPr>
          <w:p w:rsidR="00E42F0B" w:rsidRPr="00684614" w:rsidRDefault="00D205B7" w:rsidP="00E42F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26</w:t>
            </w:r>
            <w:r w:rsidR="00E42F0B"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  <w:b/>
              </w:rPr>
              <w:lastRenderedPageBreak/>
              <w:t>Основное мероприятие 2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 xml:space="preserve">Администрация Белозерского муниципального округа 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992" w:type="dxa"/>
          </w:tcPr>
          <w:p w:rsidR="00E42F0B" w:rsidRPr="00684614" w:rsidRDefault="00D205B7" w:rsidP="00D205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190</w:t>
            </w:r>
            <w:r w:rsidR="00E42F0B" w:rsidRPr="00684614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119,0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119,0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2.1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Администрация Белозерского муниципального округа Руководители муниципальных учреждений и ОМСУ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2.2.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 руководители ОМСУ и муниципальных учреждений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округа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23,0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23,0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23,0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2.3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Формирование и организация работы с резервом кадров, муниципальных учреждений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Администрация Белозерского муниципального округа, Руководители ОМСУ и муниципальных учреждений (по согласованию)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2.4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Изучение положительного опыта реализации кадровой политики в других округах (районах) области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Привлечение успешного опыта работы и его адаптация с учетом особенностей округа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2.5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Освещение на страницах газеты «</w:t>
            </w:r>
            <w:proofErr w:type="spellStart"/>
            <w:r w:rsidRPr="00684614">
              <w:rPr>
                <w:rFonts w:ascii="Times New Roman" w:hAnsi="Times New Roman"/>
              </w:rPr>
              <w:t>Белозерье</w:t>
            </w:r>
            <w:proofErr w:type="spellEnd"/>
            <w:r w:rsidRPr="00684614"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Информирование населения по вопросам кадровой политики округа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2.6</w:t>
            </w:r>
          </w:p>
          <w:p w:rsidR="00E42F0B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  <w:r w:rsidR="00D205B7">
              <w:rPr>
                <w:rFonts w:ascii="Times New Roman" w:hAnsi="Times New Roman"/>
              </w:rPr>
              <w:t>\</w:t>
            </w:r>
          </w:p>
          <w:p w:rsidR="00D205B7" w:rsidRPr="00684614" w:rsidRDefault="00D205B7" w:rsidP="00E42F0B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Администрация Белозерского муниципального округа, Руководители ОМСУ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lastRenderedPageBreak/>
              <w:t>Мероприятие 2.7.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992" w:type="dxa"/>
          </w:tcPr>
          <w:p w:rsidR="00E42F0B" w:rsidRPr="00684614" w:rsidRDefault="00D205B7" w:rsidP="00D205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167</w:t>
            </w:r>
            <w:r w:rsidR="00E42F0B" w:rsidRPr="00684614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96,0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96,0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0"/>
              </w:rPr>
            </w:pPr>
            <w:r w:rsidRPr="00684614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Комплекс стимулирующих мер по закреплению кадров в округе</w:t>
            </w:r>
          </w:p>
        </w:tc>
        <w:tc>
          <w:tcPr>
            <w:tcW w:w="2529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r w:rsidRPr="00684614">
              <w:rPr>
                <w:rFonts w:ascii="Times New Roman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479</w:t>
            </w:r>
            <w:r w:rsidRPr="00684614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480,0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480,0</w:t>
            </w:r>
          </w:p>
        </w:tc>
      </w:tr>
      <w:tr w:rsidR="00E42F0B" w:rsidRPr="00684614" w:rsidTr="00D205B7"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Мероприятие 3.1.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  <w:b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684614">
              <w:rPr>
                <w:rFonts w:ascii="Times New Roman" w:hAnsi="Times New Roman"/>
              </w:rPr>
              <w:t xml:space="preserve"> </w:t>
            </w:r>
            <w:r w:rsidRPr="00684614">
              <w:rPr>
                <w:rFonts w:ascii="Times New Roman" w:hAnsi="Times New Roman"/>
                <w:sz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Создание стимулирующих мер по закреплению кадров в округе</w:t>
            </w:r>
          </w:p>
        </w:tc>
        <w:tc>
          <w:tcPr>
            <w:tcW w:w="992" w:type="dxa"/>
          </w:tcPr>
          <w:p w:rsidR="00E42F0B" w:rsidRPr="00684614" w:rsidRDefault="00D205B7" w:rsidP="00D205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104,85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108,0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108,0</w:t>
            </w:r>
          </w:p>
        </w:tc>
      </w:tr>
      <w:tr w:rsidR="00E42F0B" w:rsidRPr="00684614" w:rsidTr="00D205B7">
        <w:trPr>
          <w:trHeight w:val="948"/>
        </w:trPr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Мероприятие 3.2.</w:t>
            </w:r>
            <w:r w:rsidRPr="00684614">
              <w:rPr>
                <w:rFonts w:ascii="Times New Roman" w:hAnsi="Times New Roman"/>
                <w:sz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ЦЗН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sz w:val="20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  <w:r w:rsidRPr="00684614">
              <w:rPr>
                <w:rFonts w:ascii="Times New Roman" w:hAnsi="Times New Roman"/>
                <w:sz w:val="20"/>
              </w:rPr>
              <w:t>, руководители муниципальных учреждений и ОМСУ, ЦЗН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Определение потребности в кадрах</w:t>
            </w:r>
          </w:p>
        </w:tc>
        <w:tc>
          <w:tcPr>
            <w:tcW w:w="99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rPr>
          <w:trHeight w:val="948"/>
        </w:trPr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Мероприятие 3.3.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Проведение торжественного мероприятия в рамках Праздника Труда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Повышение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округа</w:t>
            </w:r>
          </w:p>
        </w:tc>
        <w:tc>
          <w:tcPr>
            <w:tcW w:w="992" w:type="dxa"/>
          </w:tcPr>
          <w:p w:rsidR="00E42F0B" w:rsidRPr="00684614" w:rsidRDefault="00D205B7" w:rsidP="00E42F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3,15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42F0B" w:rsidRPr="00684614" w:rsidTr="00D205B7">
        <w:trPr>
          <w:trHeight w:val="948"/>
        </w:trPr>
        <w:tc>
          <w:tcPr>
            <w:tcW w:w="3652" w:type="dxa"/>
          </w:tcPr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Мероприятие 3.4.</w:t>
            </w:r>
          </w:p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 xml:space="preserve">Выплаты почетным гражданам </w:t>
            </w:r>
          </w:p>
        </w:tc>
        <w:tc>
          <w:tcPr>
            <w:tcW w:w="252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E42F0B" w:rsidRPr="00684614" w:rsidRDefault="00E42F0B" w:rsidP="00E42F0B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446" w:type="dxa"/>
          </w:tcPr>
          <w:p w:rsidR="00E42F0B" w:rsidRPr="00684614" w:rsidRDefault="00E42F0B" w:rsidP="00E42F0B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 xml:space="preserve"> Поощрение почетных граждан района за личный вклад в социально-экономическое развитие округа»</w:t>
            </w:r>
          </w:p>
        </w:tc>
        <w:tc>
          <w:tcPr>
            <w:tcW w:w="992" w:type="dxa"/>
          </w:tcPr>
          <w:p w:rsidR="00E42F0B" w:rsidRPr="00684614" w:rsidRDefault="00D205B7" w:rsidP="00E42F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371</w:t>
            </w:r>
            <w:r w:rsidR="00E42F0B" w:rsidRPr="00684614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372,0</w:t>
            </w:r>
          </w:p>
        </w:tc>
        <w:tc>
          <w:tcPr>
            <w:tcW w:w="849" w:type="dxa"/>
          </w:tcPr>
          <w:p w:rsidR="00E42F0B" w:rsidRPr="00684614" w:rsidRDefault="00E42F0B" w:rsidP="00E42F0B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372,0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6"/>
        <w:gridCol w:w="2694"/>
      </w:tblGrid>
      <w:tr w:rsidR="00E42F0B" w:rsidRPr="00684614" w:rsidTr="00D205B7">
        <w:trPr>
          <w:trHeight w:val="70"/>
        </w:trPr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B" w:rsidRPr="00684614" w:rsidRDefault="00E42F0B" w:rsidP="00E42F0B">
            <w:pPr>
              <w:rPr>
                <w:color w:val="000000"/>
                <w:szCs w:val="20"/>
                <w:lang w:eastAsia="ru-RU"/>
              </w:rPr>
            </w:pPr>
          </w:p>
          <w:p w:rsidR="00E42F0B" w:rsidRPr="00684614" w:rsidRDefault="00E42F0B" w:rsidP="00E42F0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684614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ИТОГО</w:t>
            </w:r>
          </w:p>
          <w:p w:rsidR="00E42F0B" w:rsidRPr="00684614" w:rsidRDefault="00E42F0B" w:rsidP="00E42F0B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F0B" w:rsidRPr="00684614" w:rsidRDefault="00E42F0B" w:rsidP="00E42F0B">
            <w:pPr>
              <w:rPr>
                <w:color w:val="000000"/>
                <w:szCs w:val="20"/>
                <w:lang w:eastAsia="ru-RU"/>
              </w:rPr>
            </w:pPr>
          </w:p>
          <w:p w:rsidR="00E42F0B" w:rsidRPr="00684614" w:rsidRDefault="00D205B7" w:rsidP="00E42F0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2527,6</w:t>
            </w:r>
          </w:p>
          <w:p w:rsidR="00E42F0B" w:rsidRPr="00684614" w:rsidRDefault="00E42F0B" w:rsidP="00E42F0B">
            <w:pPr>
              <w:rPr>
                <w:color w:val="000000"/>
                <w:szCs w:val="20"/>
                <w:lang w:eastAsia="ru-RU"/>
              </w:rPr>
            </w:pPr>
          </w:p>
        </w:tc>
      </w:tr>
    </w:tbl>
    <w:p w:rsidR="00D45BA8" w:rsidRDefault="00523EF9" w:rsidP="00E42F0B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523EF9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     </w:t>
      </w:r>
      <w:r w:rsidRPr="00523EF9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.»</w:t>
      </w:r>
      <w:r w:rsidRPr="00523EF9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                                                                   </w:t>
      </w:r>
    </w:p>
    <w:sectPr w:rsidR="00D45BA8" w:rsidSect="00F35619">
      <w:pgSz w:w="16838" w:h="11906" w:orient="landscape"/>
      <w:pgMar w:top="709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65914"/>
    <w:rsid w:val="00067109"/>
    <w:rsid w:val="00082DEC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23083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7B1E"/>
    <w:rsid w:val="001D4448"/>
    <w:rsid w:val="001E5231"/>
    <w:rsid w:val="00230E48"/>
    <w:rsid w:val="00266C00"/>
    <w:rsid w:val="00295280"/>
    <w:rsid w:val="002976DE"/>
    <w:rsid w:val="002A1781"/>
    <w:rsid w:val="002B0931"/>
    <w:rsid w:val="002B4EEF"/>
    <w:rsid w:val="002B6F5E"/>
    <w:rsid w:val="002B74C3"/>
    <w:rsid w:val="002C7AF9"/>
    <w:rsid w:val="002D349D"/>
    <w:rsid w:val="003055DD"/>
    <w:rsid w:val="00312A3F"/>
    <w:rsid w:val="0035660F"/>
    <w:rsid w:val="00397D19"/>
    <w:rsid w:val="003A77EF"/>
    <w:rsid w:val="003B046D"/>
    <w:rsid w:val="003D0A69"/>
    <w:rsid w:val="003D2AFF"/>
    <w:rsid w:val="003D4367"/>
    <w:rsid w:val="003D443F"/>
    <w:rsid w:val="003E0B0C"/>
    <w:rsid w:val="003F4FBB"/>
    <w:rsid w:val="00401048"/>
    <w:rsid w:val="004128A6"/>
    <w:rsid w:val="00423F77"/>
    <w:rsid w:val="0043604A"/>
    <w:rsid w:val="0043736B"/>
    <w:rsid w:val="00440D42"/>
    <w:rsid w:val="0045061A"/>
    <w:rsid w:val="00450C2E"/>
    <w:rsid w:val="00483935"/>
    <w:rsid w:val="00483AF3"/>
    <w:rsid w:val="004950F9"/>
    <w:rsid w:val="004B51BB"/>
    <w:rsid w:val="004D4FF5"/>
    <w:rsid w:val="004E3BA4"/>
    <w:rsid w:val="004E62E7"/>
    <w:rsid w:val="004F1907"/>
    <w:rsid w:val="004F5357"/>
    <w:rsid w:val="004F59D1"/>
    <w:rsid w:val="0050232B"/>
    <w:rsid w:val="00504A63"/>
    <w:rsid w:val="005062FC"/>
    <w:rsid w:val="0051106A"/>
    <w:rsid w:val="005207C1"/>
    <w:rsid w:val="00523EF9"/>
    <w:rsid w:val="00531D51"/>
    <w:rsid w:val="00535388"/>
    <w:rsid w:val="00535B57"/>
    <w:rsid w:val="005400A4"/>
    <w:rsid w:val="0054436E"/>
    <w:rsid w:val="00557919"/>
    <w:rsid w:val="005665E1"/>
    <w:rsid w:val="00575C3E"/>
    <w:rsid w:val="00576132"/>
    <w:rsid w:val="00581959"/>
    <w:rsid w:val="00581B43"/>
    <w:rsid w:val="0058584F"/>
    <w:rsid w:val="005900F9"/>
    <w:rsid w:val="00591176"/>
    <w:rsid w:val="005B1C26"/>
    <w:rsid w:val="005B52FC"/>
    <w:rsid w:val="005B7CED"/>
    <w:rsid w:val="005E66A1"/>
    <w:rsid w:val="005F3807"/>
    <w:rsid w:val="00604717"/>
    <w:rsid w:val="00614FBB"/>
    <w:rsid w:val="006274C8"/>
    <w:rsid w:val="00643562"/>
    <w:rsid w:val="00661431"/>
    <w:rsid w:val="0066166D"/>
    <w:rsid w:val="00676CD0"/>
    <w:rsid w:val="00685D67"/>
    <w:rsid w:val="006861B3"/>
    <w:rsid w:val="006A09AA"/>
    <w:rsid w:val="006A12CC"/>
    <w:rsid w:val="006C45DF"/>
    <w:rsid w:val="006F2C7E"/>
    <w:rsid w:val="00701F2B"/>
    <w:rsid w:val="007028AF"/>
    <w:rsid w:val="00713972"/>
    <w:rsid w:val="00734647"/>
    <w:rsid w:val="0073762B"/>
    <w:rsid w:val="007405A2"/>
    <w:rsid w:val="00760EE4"/>
    <w:rsid w:val="00762B0F"/>
    <w:rsid w:val="0077096F"/>
    <w:rsid w:val="00773439"/>
    <w:rsid w:val="00774914"/>
    <w:rsid w:val="00787801"/>
    <w:rsid w:val="007A0185"/>
    <w:rsid w:val="007A55F8"/>
    <w:rsid w:val="007A6CFF"/>
    <w:rsid w:val="007B624F"/>
    <w:rsid w:val="007C2188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7C44"/>
    <w:rsid w:val="009C1182"/>
    <w:rsid w:val="009D7746"/>
    <w:rsid w:val="009F2A41"/>
    <w:rsid w:val="009F2DFA"/>
    <w:rsid w:val="00A11C2E"/>
    <w:rsid w:val="00A12D99"/>
    <w:rsid w:val="00A40BDC"/>
    <w:rsid w:val="00A417EF"/>
    <w:rsid w:val="00A467D8"/>
    <w:rsid w:val="00A5193A"/>
    <w:rsid w:val="00A62622"/>
    <w:rsid w:val="00A704FD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5D1F"/>
    <w:rsid w:val="00B268F4"/>
    <w:rsid w:val="00B320B0"/>
    <w:rsid w:val="00B32C4A"/>
    <w:rsid w:val="00B36DA6"/>
    <w:rsid w:val="00B62F40"/>
    <w:rsid w:val="00B70149"/>
    <w:rsid w:val="00B71D30"/>
    <w:rsid w:val="00B748E7"/>
    <w:rsid w:val="00B768B1"/>
    <w:rsid w:val="00B864FB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2D92"/>
    <w:rsid w:val="00C2348F"/>
    <w:rsid w:val="00C453AA"/>
    <w:rsid w:val="00C6552A"/>
    <w:rsid w:val="00C73F81"/>
    <w:rsid w:val="00C87207"/>
    <w:rsid w:val="00CA6241"/>
    <w:rsid w:val="00CB1EF4"/>
    <w:rsid w:val="00CC0517"/>
    <w:rsid w:val="00CD04E6"/>
    <w:rsid w:val="00CD237E"/>
    <w:rsid w:val="00CD4DAB"/>
    <w:rsid w:val="00CD7FD1"/>
    <w:rsid w:val="00D14856"/>
    <w:rsid w:val="00D205B7"/>
    <w:rsid w:val="00D22E24"/>
    <w:rsid w:val="00D25E08"/>
    <w:rsid w:val="00D45BA8"/>
    <w:rsid w:val="00D544EA"/>
    <w:rsid w:val="00D64694"/>
    <w:rsid w:val="00D6576B"/>
    <w:rsid w:val="00D76E08"/>
    <w:rsid w:val="00D8284C"/>
    <w:rsid w:val="00D856E6"/>
    <w:rsid w:val="00D96C52"/>
    <w:rsid w:val="00DB43DA"/>
    <w:rsid w:val="00DC41AD"/>
    <w:rsid w:val="00DD2B6D"/>
    <w:rsid w:val="00DD61C4"/>
    <w:rsid w:val="00E0785F"/>
    <w:rsid w:val="00E12E65"/>
    <w:rsid w:val="00E261CB"/>
    <w:rsid w:val="00E37E28"/>
    <w:rsid w:val="00E42F0B"/>
    <w:rsid w:val="00E555DE"/>
    <w:rsid w:val="00E769C4"/>
    <w:rsid w:val="00E840D0"/>
    <w:rsid w:val="00E930D5"/>
    <w:rsid w:val="00E954A6"/>
    <w:rsid w:val="00EA102B"/>
    <w:rsid w:val="00EA270C"/>
    <w:rsid w:val="00EB5DE2"/>
    <w:rsid w:val="00EC0F2C"/>
    <w:rsid w:val="00EC386E"/>
    <w:rsid w:val="00EC7E12"/>
    <w:rsid w:val="00EC7F24"/>
    <w:rsid w:val="00EF7868"/>
    <w:rsid w:val="00F0179A"/>
    <w:rsid w:val="00F056EF"/>
    <w:rsid w:val="00F07643"/>
    <w:rsid w:val="00F21648"/>
    <w:rsid w:val="00F22D15"/>
    <w:rsid w:val="00F25A78"/>
    <w:rsid w:val="00F3343C"/>
    <w:rsid w:val="00F35619"/>
    <w:rsid w:val="00F36B2B"/>
    <w:rsid w:val="00F37688"/>
    <w:rsid w:val="00F507AD"/>
    <w:rsid w:val="00F53E05"/>
    <w:rsid w:val="00F573AA"/>
    <w:rsid w:val="00F57E10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8702-B82F-4DB9-99E1-E6CB0882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7</cp:revision>
  <cp:lastPrinted>2023-08-21T08:47:00Z</cp:lastPrinted>
  <dcterms:created xsi:type="dcterms:W3CDTF">2023-04-14T06:02:00Z</dcterms:created>
  <dcterms:modified xsi:type="dcterms:W3CDTF">2023-08-25T10:59:00Z</dcterms:modified>
</cp:coreProperties>
</file>