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77067" w:rsidRDefault="001021C8">
      <w:pPr>
        <w:tabs>
          <w:tab w:val="left" w:pos="724"/>
        </w:tabs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14:paraId="02000000" w14:textId="77777777" w:rsidR="00577067" w:rsidRDefault="001021C8">
      <w:pPr>
        <w:tabs>
          <w:tab w:val="left" w:pos="724"/>
        </w:tabs>
        <w:jc w:val="center"/>
        <w:rPr>
          <w:b/>
          <w:sz w:val="28"/>
        </w:rPr>
      </w:pPr>
      <w:r>
        <w:rPr>
          <w:b/>
          <w:sz w:val="28"/>
        </w:rPr>
        <w:t>о финансово -  экономическом состоянии субъектов малого и среднего предпринимательства Белозерского муниципального района за 2022 год</w:t>
      </w:r>
    </w:p>
    <w:p w14:paraId="03000000" w14:textId="77777777" w:rsidR="00577067" w:rsidRDefault="00577067">
      <w:pPr>
        <w:tabs>
          <w:tab w:val="left" w:pos="724"/>
        </w:tabs>
        <w:jc w:val="center"/>
        <w:rPr>
          <w:b/>
          <w:sz w:val="28"/>
        </w:rPr>
      </w:pPr>
    </w:p>
    <w:p w14:paraId="04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      Основные тенденции развития</w:t>
      </w:r>
      <w:r>
        <w:rPr>
          <w:sz w:val="28"/>
        </w:rPr>
        <w:t xml:space="preserve"> </w:t>
      </w:r>
      <w:r>
        <w:rPr>
          <w:b/>
          <w:sz w:val="28"/>
        </w:rPr>
        <w:t>малого и среднего предпринимательства</w:t>
      </w:r>
      <w:r>
        <w:rPr>
          <w:sz w:val="28"/>
        </w:rPr>
        <w:t xml:space="preserve"> </w:t>
      </w:r>
    </w:p>
    <w:p w14:paraId="05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Развитие малого и среднего предпринимательства обозначено одним из приоритетных направлений социально-экономического развития Белозерского района. </w:t>
      </w:r>
      <w:proofErr w:type="gramStart"/>
      <w:r>
        <w:rPr>
          <w:sz w:val="28"/>
        </w:rPr>
        <w:t>Малый бизнес во многом определяет темпы экономического роста, формирование налогооблагаемой базы и наполнение</w:t>
      </w:r>
      <w:r>
        <w:rPr>
          <w:sz w:val="28"/>
        </w:rPr>
        <w:t xml:space="preserve"> местных бюджетов, а также состояние занятост</w:t>
      </w:r>
      <w:bookmarkStart w:id="0" w:name="_GoBack"/>
      <w:bookmarkEnd w:id="0"/>
      <w:r>
        <w:rPr>
          <w:sz w:val="28"/>
        </w:rPr>
        <w:t>и населения и обеспечения социальной стабильности 10 января 2023 года согласно Единого реестра субъектов малого и среднего предпринимательства на территории Белозерского района зарегистрировано: 304 субъекта МСП</w:t>
      </w:r>
      <w:r>
        <w:rPr>
          <w:sz w:val="28"/>
        </w:rPr>
        <w:t xml:space="preserve"> (59 - малых и </w:t>
      </w:r>
      <w:proofErr w:type="spellStart"/>
      <w:r>
        <w:rPr>
          <w:sz w:val="28"/>
        </w:rPr>
        <w:t>микропредприятий</w:t>
      </w:r>
      <w:proofErr w:type="spellEnd"/>
      <w:r>
        <w:rPr>
          <w:sz w:val="28"/>
        </w:rPr>
        <w:t>, 245 индивидуальных предпринимателя).</w:t>
      </w:r>
      <w:proofErr w:type="gramEnd"/>
    </w:p>
    <w:p w14:paraId="06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На 10.01.2022 года 337 субъектов МСП, в том числе 67 –малых и </w:t>
      </w:r>
      <w:proofErr w:type="spellStart"/>
      <w:r>
        <w:rPr>
          <w:sz w:val="28"/>
        </w:rPr>
        <w:t>микропредприятий</w:t>
      </w:r>
      <w:proofErr w:type="spellEnd"/>
      <w:r>
        <w:rPr>
          <w:sz w:val="28"/>
        </w:rPr>
        <w:t>, 270 индивидуальных предпринимателя.</w:t>
      </w:r>
    </w:p>
    <w:p w14:paraId="07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Основными направлениями деятельности малого бизнеса являются т</w:t>
      </w:r>
      <w:r>
        <w:rPr>
          <w:sz w:val="28"/>
        </w:rPr>
        <w:t>орговля-24%, транспорт и связь-24%, услуги-8%, производство-6%, строительство-6%, прочие-30%.</w:t>
      </w:r>
    </w:p>
    <w:p w14:paraId="08000000" w14:textId="77777777" w:rsidR="00577067" w:rsidRDefault="001021C8" w:rsidP="001021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Финансовая поддержка</w:t>
      </w:r>
    </w:p>
    <w:p w14:paraId="09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 В 2022 году  действовала  муниципальная  программа «Экономическое развитие Белозерского муниципального района  на 2021 – 2025 годы»,</w:t>
      </w:r>
      <w:r>
        <w:rPr>
          <w:sz w:val="28"/>
        </w:rPr>
        <w:t xml:space="preserve"> утвержденная постановлением администрации района  16.06.2020 № 243 (с дополнениями и изменениями), одной из задач которой является  оказание поддержки и содействия развитию малого и среднего предпринимательства на территории района. </w:t>
      </w:r>
    </w:p>
    <w:p w14:paraId="0A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Объем финанси</w:t>
      </w:r>
      <w:r>
        <w:rPr>
          <w:sz w:val="28"/>
        </w:rPr>
        <w:t>рования в 2022 году</w:t>
      </w:r>
      <w:r>
        <w:rPr>
          <w:sz w:val="22"/>
        </w:rPr>
        <w:t xml:space="preserve">  </w:t>
      </w:r>
      <w:r>
        <w:rPr>
          <w:sz w:val="28"/>
        </w:rPr>
        <w:t xml:space="preserve">по основному мероприятию 1 Развитие малого и среднего предпринимательства на территории Белозерского муниципального района составляет 364,3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.:</w:t>
      </w:r>
    </w:p>
    <w:p w14:paraId="0B000000" w14:textId="77777777" w:rsidR="00577067" w:rsidRDefault="001021C8" w:rsidP="001021C8">
      <w:pPr>
        <w:pStyle w:val="23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     В рамках реализации подпрограммы «Развитие торговли» государственной программы </w:t>
      </w:r>
      <w:r>
        <w:rPr>
          <w:sz w:val="28"/>
        </w:rPr>
        <w:t xml:space="preserve">«Экономическое развитие Вологодской области на 2021-2025 годы», касающейся компенсации части затрат на горюче-смазочные материалы, произведенных при доставке товаров первой необходимости в труднодоступные и малонаселенные пункты и </w:t>
      </w:r>
      <w:r>
        <w:rPr>
          <w:sz w:val="28"/>
        </w:rPr>
        <w:t>муниципальной программы «</w:t>
      </w:r>
      <w:r>
        <w:rPr>
          <w:sz w:val="28"/>
        </w:rPr>
        <w:t>Экономическое развитие  Белозерского муниципального района на 2021-2025 годы»</w:t>
      </w:r>
      <w:r>
        <w:rPr>
          <w:sz w:val="28"/>
        </w:rPr>
        <w:t xml:space="preserve">  в 2022 году Пригородному СПО предоставлены субсидии в размере 356,4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( 338,6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–областной бюджет, 17,8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.-районный бюджет).</w:t>
      </w:r>
    </w:p>
    <w:p w14:paraId="0C000000" w14:textId="77777777" w:rsidR="00577067" w:rsidRDefault="001021C8" w:rsidP="001021C8">
      <w:pPr>
        <w:pStyle w:val="23"/>
        <w:spacing w:after="0" w:line="240" w:lineRule="auto"/>
        <w:ind w:left="0" w:firstLine="709"/>
        <w:jc w:val="both"/>
        <w:rPr>
          <w:sz w:val="28"/>
          <w:u w:val="single"/>
        </w:rPr>
      </w:pPr>
      <w:r>
        <w:rPr>
          <w:sz w:val="28"/>
          <w:u w:val="single"/>
        </w:rPr>
        <w:t>В 2022 году</w:t>
      </w:r>
      <w:r>
        <w:rPr>
          <w:sz w:val="28"/>
        </w:rPr>
        <w:t xml:space="preserve">   в поддержку </w:t>
      </w:r>
      <w:proofErr w:type="spellStart"/>
      <w:r>
        <w:rPr>
          <w:sz w:val="28"/>
        </w:rPr>
        <w:t>сельхо</w:t>
      </w:r>
      <w:r>
        <w:rPr>
          <w:sz w:val="28"/>
        </w:rPr>
        <w:t>зтоваропризводителям</w:t>
      </w:r>
      <w:proofErr w:type="spellEnd"/>
      <w:r>
        <w:rPr>
          <w:sz w:val="28"/>
        </w:rPr>
        <w:t xml:space="preserve"> выделено 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  <w:u w:val="single"/>
        </w:rPr>
        <w:t>СХА  (колхоз) «Рассвет»:</w:t>
      </w:r>
    </w:p>
    <w:p w14:paraId="0D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- субсидии на проведение комплекса агротехнических работ  в сумме 2419946,00 рублей  за счет  областного и федерального бюджета;</w:t>
      </w:r>
    </w:p>
    <w:p w14:paraId="0E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- субсидии на поддержку собственного производства молока в сумме 935953</w:t>
      </w:r>
      <w:r>
        <w:rPr>
          <w:sz w:val="28"/>
        </w:rPr>
        <w:t>,00 рублей  за счет  областного и федерального бюджета;</w:t>
      </w:r>
    </w:p>
    <w:p w14:paraId="0F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субсидии на поддержку элитного семеноводства в сумме 110000,00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за счет областного бюджета.</w:t>
      </w:r>
    </w:p>
    <w:p w14:paraId="10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u w:val="single"/>
        </w:rPr>
        <w:t>ООО «СХП «Чистое озеро»: с</w:t>
      </w:r>
      <w:r>
        <w:rPr>
          <w:sz w:val="28"/>
        </w:rPr>
        <w:t xml:space="preserve">убсидия на производство товарной рыбы в сумме 3180776,00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бластной бюд</w:t>
      </w:r>
      <w:r>
        <w:rPr>
          <w:sz w:val="28"/>
        </w:rPr>
        <w:t>жет.</w:t>
      </w:r>
    </w:p>
    <w:p w14:paraId="11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Объем финансирования в 2021 году</w:t>
      </w:r>
      <w:r>
        <w:rPr>
          <w:sz w:val="22"/>
        </w:rPr>
        <w:t xml:space="preserve">  </w:t>
      </w:r>
      <w:r>
        <w:rPr>
          <w:sz w:val="28"/>
        </w:rPr>
        <w:t xml:space="preserve">по основному мероприятию 1 Развитие малого и среднего предпринимательства на территории Белозерского муниципального района – 415,0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..  Предоставлены субсидии на компенсацию части </w:t>
      </w:r>
      <w:r>
        <w:rPr>
          <w:sz w:val="28"/>
        </w:rPr>
        <w:t xml:space="preserve">затрат </w:t>
      </w:r>
      <w:r>
        <w:rPr>
          <w:sz w:val="28"/>
        </w:rPr>
        <w:t xml:space="preserve"> на горюче-смазочн</w:t>
      </w:r>
      <w:r>
        <w:rPr>
          <w:sz w:val="28"/>
        </w:rPr>
        <w:t xml:space="preserve">ые материалы, произведенных при доставке продовольственных товаров в малонаселенные и (или) труднодоступные населенные пункты  в сумме 411,1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.(390,5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.-областной бюджет, 20,6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.- районный бюджет).</w:t>
      </w:r>
    </w:p>
    <w:p w14:paraId="12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  За 2021 год предоставлена фина</w:t>
      </w:r>
      <w:r>
        <w:rPr>
          <w:sz w:val="28"/>
        </w:rPr>
        <w:t xml:space="preserve">нсовая поддержка </w:t>
      </w:r>
      <w:proofErr w:type="spellStart"/>
      <w:r>
        <w:rPr>
          <w:sz w:val="28"/>
        </w:rPr>
        <w:t>сельхозтоваропроизводителям</w:t>
      </w:r>
      <w:proofErr w:type="spellEnd"/>
      <w:r>
        <w:rPr>
          <w:sz w:val="28"/>
        </w:rPr>
        <w:t xml:space="preserve"> района:</w:t>
      </w:r>
    </w:p>
    <w:p w14:paraId="13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  <w:u w:val="single"/>
        </w:rPr>
      </w:pPr>
      <w:r>
        <w:rPr>
          <w:b/>
          <w:i/>
          <w:sz w:val="28"/>
          <w:u w:val="single"/>
        </w:rPr>
        <w:t xml:space="preserve">- </w:t>
      </w:r>
      <w:r>
        <w:rPr>
          <w:sz w:val="28"/>
          <w:u w:val="single"/>
        </w:rPr>
        <w:t>СХА  (колхоз) «Рассвет»:</w:t>
      </w:r>
    </w:p>
    <w:p w14:paraId="14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на проведение комплекса агротехнических работ  в сумме 2183949,56 рублей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>областной бюджет – 502308,40 рублей,  федеральный  бюджет –1681641,16 рублей);</w:t>
      </w:r>
    </w:p>
    <w:p w14:paraId="15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- на поддержку собс</w:t>
      </w:r>
      <w:r>
        <w:rPr>
          <w:sz w:val="28"/>
        </w:rPr>
        <w:t xml:space="preserve">твенного производства молока в сумме 3686032,21 </w:t>
      </w:r>
      <w:proofErr w:type="spellStart"/>
      <w:r>
        <w:rPr>
          <w:sz w:val="28"/>
        </w:rPr>
        <w:t>ру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 областной бюджет - 3554475,55 руб., федеральный бюджет – 131556,66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);</w:t>
      </w:r>
    </w:p>
    <w:p w14:paraId="16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  - </w:t>
      </w:r>
      <w:r>
        <w:rPr>
          <w:sz w:val="28"/>
          <w:u w:val="single"/>
        </w:rPr>
        <w:t>ООО «СХП «Чистое озеро»: с</w:t>
      </w:r>
      <w:r>
        <w:rPr>
          <w:sz w:val="28"/>
        </w:rPr>
        <w:t xml:space="preserve">убсидия на производство товарной рыбы в сумме 1422556,00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бластной бюджет;</w:t>
      </w:r>
    </w:p>
    <w:p w14:paraId="17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 xml:space="preserve">ООО «Белозерский </w:t>
      </w:r>
      <w:r>
        <w:rPr>
          <w:sz w:val="28"/>
          <w:u w:val="single"/>
        </w:rPr>
        <w:t>пекарь»:</w:t>
      </w:r>
      <w:r>
        <w:rPr>
          <w:sz w:val="28"/>
        </w:rPr>
        <w:t xml:space="preserve"> субсидия на реализацию хлеба и хлебобулочных изделий в сумме 212674,69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(2105,69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– областной бюджет, 210569,00 </w:t>
      </w:r>
      <w:proofErr w:type="spellStart"/>
      <w:r>
        <w:rPr>
          <w:sz w:val="28"/>
        </w:rPr>
        <w:t>ру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федеральный бюджет).</w:t>
      </w:r>
    </w:p>
    <w:p w14:paraId="18000000" w14:textId="77777777" w:rsidR="00577067" w:rsidRDefault="001021C8" w:rsidP="001021C8">
      <w:pPr>
        <w:pStyle w:val="23"/>
        <w:spacing w:after="0" w:line="240" w:lineRule="auto"/>
        <w:ind w:left="0" w:firstLine="709"/>
        <w:jc w:val="both"/>
        <w:rPr>
          <w:b/>
          <w:i/>
          <w:sz w:val="28"/>
        </w:rPr>
      </w:pPr>
      <w:r>
        <w:rPr>
          <w:sz w:val="28"/>
        </w:rPr>
        <w:t xml:space="preserve">                  </w:t>
      </w:r>
    </w:p>
    <w:p w14:paraId="19000000" w14:textId="77777777" w:rsidR="00577067" w:rsidRDefault="001021C8" w:rsidP="001021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Имущественная поддержка</w:t>
      </w:r>
    </w:p>
    <w:p w14:paraId="1A000000" w14:textId="77777777" w:rsidR="00577067" w:rsidRDefault="00577067" w:rsidP="001021C8">
      <w:pPr>
        <w:ind w:firstLine="709"/>
        <w:jc w:val="both"/>
        <w:rPr>
          <w:b/>
          <w:sz w:val="28"/>
        </w:rPr>
      </w:pPr>
    </w:p>
    <w:p w14:paraId="1B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В 2022 году  5 субъектам МСП предоставлено в аренду 3313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муниципальных площадей, общая площадь сдаваемых площадей – 3929,5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(В 2021 году 5 субъектам малого и среднего предпринимательства предоставлено в аренду 3388,4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муниципальных площадей, общая площадь сдаваемых площадей – 4004,9кв.</w:t>
      </w:r>
      <w:proofErr w:type="gramStart"/>
      <w:r>
        <w:rPr>
          <w:sz w:val="28"/>
        </w:rPr>
        <w:t xml:space="preserve"> )</w:t>
      </w:r>
      <w:proofErr w:type="gramEnd"/>
    </w:p>
    <w:p w14:paraId="1C000000" w14:textId="77777777" w:rsidR="00577067" w:rsidRDefault="001021C8" w:rsidP="001021C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утверж</w:t>
      </w:r>
      <w:r>
        <w:rPr>
          <w:sz w:val="28"/>
        </w:rPr>
        <w:t>денный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малого и среднего предпринимательства и орган</w:t>
      </w:r>
      <w:r>
        <w:rPr>
          <w:sz w:val="28"/>
        </w:rPr>
        <w:t xml:space="preserve">изациям, образующим инфраструктуру поддержки субъектов малого и среднего предпринимательства включены 9 объектов площадью – 11361,6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В районный бюджет  поступило 1254,95 тыс. руб. (из них поступление от субъектов малого и</w:t>
      </w:r>
      <w:proofErr w:type="gramEnd"/>
      <w:r>
        <w:rPr>
          <w:sz w:val="28"/>
        </w:rPr>
        <w:t xml:space="preserve"> среднего бизнеса в сумме 675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.).</w:t>
      </w:r>
    </w:p>
    <w:p w14:paraId="1D000000" w14:textId="77777777" w:rsidR="00577067" w:rsidRDefault="001021C8" w:rsidP="001021C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Постановлением Главы района от 22.12.2010 года № 1368 «Об утверждении методики исчисления размера годовой арендной платы за пользование муниципальными нежилыми помещениями и иными объектами движимого и недвижимого имущества, находящегося в собст</w:t>
      </w:r>
      <w:r>
        <w:rPr>
          <w:sz w:val="28"/>
        </w:rPr>
        <w:t>венности Белозерского муниципального района», с последующими дополнениями и изменениями, установлены и действуют понижающие коэффициенты по арендной плате за пользование муниципальными зданиями, строениями и отдельными помещениями для отдельных видов деяте</w:t>
      </w:r>
      <w:r>
        <w:rPr>
          <w:sz w:val="28"/>
        </w:rPr>
        <w:t>льности:</w:t>
      </w:r>
      <w:proofErr w:type="gramEnd"/>
    </w:p>
    <w:p w14:paraId="1E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-организации общественного питания, бытового обслуживания населения, ритуальных услуг -0,7;</w:t>
      </w:r>
    </w:p>
    <w:p w14:paraId="1F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-под гостиницы, станции технического обслуживания – 0,4;</w:t>
      </w:r>
    </w:p>
    <w:p w14:paraId="20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-под помещения, арендуемые в целях развития туризма, сельского туризма, под издательские </w:t>
      </w:r>
      <w:r>
        <w:rPr>
          <w:sz w:val="28"/>
        </w:rPr>
        <w:t>автономные некоммерческие организации – 0,15.</w:t>
      </w:r>
    </w:p>
    <w:p w14:paraId="21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постановления администрации района от 03.12.2021 № 451 «О внесении изменений в постановление администрации района от 22.12.2010 года №1368» повышена с 1 января 2022 года арендная плата арендаторам </w:t>
      </w:r>
      <w:r>
        <w:rPr>
          <w:sz w:val="28"/>
        </w:rPr>
        <w:t>на 10%.</w:t>
      </w:r>
    </w:p>
    <w:p w14:paraId="22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В целях исполнения подпункта «ж» пункта 1 Указа Президента Российской Федерации от 16 марта 2022 года №121 «О мерах по обеспечению социально-экономической стабильности и защиты населения в Российской Федерации», на основании Постановлени</w:t>
      </w:r>
      <w:r>
        <w:rPr>
          <w:sz w:val="28"/>
        </w:rPr>
        <w:t>я Правительства Вологодской области от 17.03.2022 № 318 «Об уменьшении размера арендной платы по договорам аренды недвижимого имущества, находящегося в собственности Вологодской области» с последующими дополнениями и изменениями, в целях</w:t>
      </w:r>
      <w:proofErr w:type="gramEnd"/>
      <w:r>
        <w:rPr>
          <w:sz w:val="28"/>
        </w:rPr>
        <w:t xml:space="preserve"> оказания имуществе</w:t>
      </w:r>
      <w:r>
        <w:rPr>
          <w:sz w:val="28"/>
        </w:rPr>
        <w:t>нной поддержки  принято постановление Главы района от 31.03.2022  № 35 «Об уменьшении размера арендной платы по договорам аренды недвижимого имущества, находящегося в собственности Белозерского муниципального района».</w:t>
      </w:r>
    </w:p>
    <w:p w14:paraId="23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В 2021 году в утвержденный Перечень му</w:t>
      </w:r>
      <w:r>
        <w:rPr>
          <w:sz w:val="28"/>
        </w:rPr>
        <w:t>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малого и среднего предпринимательства и организациям, образующи</w:t>
      </w:r>
      <w:r>
        <w:rPr>
          <w:sz w:val="28"/>
        </w:rPr>
        <w:t xml:space="preserve">м инфраструктуру поддержки субъектов малого и среднего предпринимательства включены 10 объектов площадью – 11361,6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.(2020 год-8 объектов площадью – 11201,6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</w:p>
    <w:p w14:paraId="24000000" w14:textId="77777777" w:rsidR="00577067" w:rsidRDefault="001021C8" w:rsidP="001021C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2021 году в районный бюджет поступило 1419773,21 руб. (из них поступление от субъектов ма</w:t>
      </w:r>
      <w:r>
        <w:rPr>
          <w:sz w:val="28"/>
        </w:rPr>
        <w:t>лого и среднего бизнеса в сумме 805904,77 руб.) (2020 год-1231660,89 руб. (из них поступление от субъектов МСП в сумме 752919,82 руб.).</w:t>
      </w:r>
      <w:proofErr w:type="gramEnd"/>
    </w:p>
    <w:p w14:paraId="25000000" w14:textId="77777777" w:rsidR="00577067" w:rsidRDefault="00577067" w:rsidP="001021C8">
      <w:pPr>
        <w:ind w:firstLine="709"/>
        <w:jc w:val="both"/>
        <w:rPr>
          <w:sz w:val="28"/>
        </w:rPr>
      </w:pPr>
    </w:p>
    <w:p w14:paraId="26000000" w14:textId="77777777" w:rsidR="00577067" w:rsidRDefault="00577067" w:rsidP="001021C8">
      <w:pPr>
        <w:pStyle w:val="ae"/>
        <w:ind w:firstLine="709"/>
        <w:jc w:val="both"/>
        <w:rPr>
          <w:color w:val="00000A"/>
          <w:sz w:val="28"/>
        </w:rPr>
      </w:pPr>
    </w:p>
    <w:p w14:paraId="27000000" w14:textId="77777777" w:rsidR="00577067" w:rsidRDefault="001021C8" w:rsidP="001021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Консультационная, информационная поддержка</w:t>
      </w:r>
    </w:p>
    <w:p w14:paraId="28000000" w14:textId="77777777" w:rsidR="00577067" w:rsidRDefault="00577067" w:rsidP="001021C8">
      <w:pPr>
        <w:ind w:firstLine="709"/>
        <w:jc w:val="both"/>
        <w:rPr>
          <w:b/>
          <w:sz w:val="28"/>
        </w:rPr>
      </w:pPr>
    </w:p>
    <w:p w14:paraId="29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За 2022 года состоялось 2 заседания районного Совета по развитию малого и </w:t>
      </w:r>
      <w:r>
        <w:rPr>
          <w:sz w:val="28"/>
        </w:rPr>
        <w:t xml:space="preserve">среднего предпринимательства: </w:t>
      </w:r>
    </w:p>
    <w:p w14:paraId="2A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b/>
          <w:sz w:val="28"/>
        </w:rPr>
        <w:t>14 марта 2022 года</w:t>
      </w:r>
      <w:r>
        <w:rPr>
          <w:sz w:val="28"/>
        </w:rPr>
        <w:t xml:space="preserve">  рассмотрены  вопросы: Меры поддержки для субъектов МСП в 2022 году; Антикризисные меры поддержки ; Сроки сдачи отчетности субъектами МСП; Мониторинг цен в </w:t>
      </w:r>
      <w:proofErr w:type="spellStart"/>
      <w:r>
        <w:rPr>
          <w:sz w:val="28"/>
        </w:rPr>
        <w:t>районе</w:t>
      </w:r>
      <w:proofErr w:type="gramStart"/>
      <w:r>
        <w:rPr>
          <w:sz w:val="28"/>
        </w:rPr>
        <w:t>;У</w:t>
      </w:r>
      <w:proofErr w:type="gramEnd"/>
      <w:r>
        <w:rPr>
          <w:sz w:val="28"/>
        </w:rPr>
        <w:t>частие</w:t>
      </w:r>
      <w:proofErr w:type="spellEnd"/>
      <w:r>
        <w:rPr>
          <w:sz w:val="28"/>
        </w:rPr>
        <w:t xml:space="preserve"> МСП в общественных обсуждениях при </w:t>
      </w:r>
      <w:r>
        <w:rPr>
          <w:sz w:val="28"/>
        </w:rPr>
        <w:t>проведении ОРВ проектов НПА и экспертизы НПА; Вопросы неформальной занятости;</w:t>
      </w:r>
    </w:p>
    <w:p w14:paraId="2B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         26 октября 2022 года</w:t>
      </w:r>
      <w:r>
        <w:rPr>
          <w:sz w:val="28"/>
        </w:rPr>
        <w:t xml:space="preserve"> рассмотрены вопросы: </w:t>
      </w:r>
      <w:proofErr w:type="gramStart"/>
      <w:r>
        <w:rPr>
          <w:sz w:val="28"/>
        </w:rPr>
        <w:t xml:space="preserve">Об участии во Всероссийском конкурсе лучших проектов туристского кода центра города  «Белозерск - былинный город»; об участии </w:t>
      </w:r>
      <w:r>
        <w:rPr>
          <w:sz w:val="28"/>
        </w:rPr>
        <w:t>МСП в общественных обсуждениях при проведении ОРВ проектов НПА и экспертизы НПА;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 xml:space="preserve">Формирование плана экспертизы НПА на 2023 год; Участие субъектов МСП Белозерского муниципального района  в процедурах установления и оценки </w:t>
      </w:r>
      <w:r>
        <w:rPr>
          <w:sz w:val="28"/>
        </w:rPr>
        <w:lastRenderedPageBreak/>
        <w:t>применения обязательных требований,</w:t>
      </w:r>
      <w:r>
        <w:rPr>
          <w:sz w:val="28"/>
        </w:rPr>
        <w:t xml:space="preserve"> содержащихся в муниципальных правовых актах;</w:t>
      </w:r>
      <w:proofErr w:type="gramEnd"/>
      <w:r>
        <w:rPr>
          <w:sz w:val="28"/>
        </w:rPr>
        <w:t xml:space="preserve"> О предоставлении субсидий субъектам МСП;  о составе Совета МСП на 2023 год.</w:t>
      </w:r>
    </w:p>
    <w:p w14:paraId="2C000000" w14:textId="77777777" w:rsidR="00577067" w:rsidRDefault="001021C8" w:rsidP="001021C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-</w:t>
      </w:r>
      <w:r>
        <w:rPr>
          <w:b/>
          <w:sz w:val="28"/>
        </w:rPr>
        <w:t xml:space="preserve"> проведение семинаров – совещаний:</w:t>
      </w:r>
    </w:p>
    <w:p w14:paraId="2D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В течение  2022 года в режиме «онлайн»  проводились семинары,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 по вопросам, касаю</w:t>
      </w:r>
      <w:r>
        <w:rPr>
          <w:sz w:val="28"/>
        </w:rPr>
        <w:t>щимся предпринимателей разных сфер деятельности: оказание поддержки субъектам МСП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маркировка товаров, в сфере туризма.</w:t>
      </w:r>
    </w:p>
    <w:p w14:paraId="2E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В 2021 году состоялось 4 заседания  районного Совета по развитию малого и среднего предпринимательства</w:t>
      </w:r>
      <w:proofErr w:type="gramStart"/>
      <w:r>
        <w:rPr>
          <w:sz w:val="28"/>
        </w:rPr>
        <w:t xml:space="preserve"> .</w:t>
      </w:r>
      <w:proofErr w:type="gramEnd"/>
    </w:p>
    <w:p w14:paraId="2F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-Меры поддержки для субъектов </w:t>
      </w:r>
      <w:r>
        <w:rPr>
          <w:sz w:val="28"/>
        </w:rPr>
        <w:t>МСП в 2021 году</w:t>
      </w:r>
    </w:p>
    <w:p w14:paraId="30000000" w14:textId="77777777" w:rsidR="00577067" w:rsidRDefault="001021C8" w:rsidP="001021C8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-Социальное предпринимательство</w:t>
      </w:r>
    </w:p>
    <w:p w14:paraId="31000000" w14:textId="77777777" w:rsidR="00577067" w:rsidRDefault="001021C8" w:rsidP="001021C8">
      <w:pPr>
        <w:ind w:firstLine="709"/>
        <w:jc w:val="both"/>
        <w:rPr>
          <w:b/>
          <w:color w:val="454545"/>
          <w:sz w:val="28"/>
          <w:u w:val="single"/>
        </w:rPr>
      </w:pPr>
      <w:r>
        <w:rPr>
          <w:color w:val="454545"/>
          <w:sz w:val="28"/>
        </w:rPr>
        <w:t>-Экономическая перепись малого бизнеса</w:t>
      </w:r>
      <w:r>
        <w:rPr>
          <w:b/>
          <w:color w:val="454545"/>
          <w:sz w:val="28"/>
          <w:u w:val="single"/>
        </w:rPr>
        <w:t xml:space="preserve"> </w:t>
      </w:r>
    </w:p>
    <w:p w14:paraId="32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 Участие в конкурсе «Инвестор региона»</w:t>
      </w:r>
    </w:p>
    <w:p w14:paraId="33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- Отраслевой проект «Общественное питание» </w:t>
      </w:r>
    </w:p>
    <w:p w14:paraId="34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- Кредитные продукты СКПК «Народный» </w:t>
      </w:r>
    </w:p>
    <w:p w14:paraId="35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-Трудоустройство инвалидов</w:t>
      </w:r>
    </w:p>
    <w:p w14:paraId="36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-Подготовка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</w:t>
      </w:r>
      <w:r>
        <w:rPr>
          <w:sz w:val="28"/>
        </w:rPr>
        <w:t>предпринимателя</w:t>
      </w:r>
    </w:p>
    <w:p w14:paraId="37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-Субсидии ГСМ</w:t>
      </w:r>
    </w:p>
    <w:p w14:paraId="38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-Участие в обучающих семинарах для МСП</w:t>
      </w:r>
    </w:p>
    <w:p w14:paraId="39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-Участие МСП в общественных обсуждениях при проведении ОРВ проектов НПА и экспертизы НПА</w:t>
      </w:r>
    </w:p>
    <w:p w14:paraId="3A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-Вопрос о необходимости вакцинации и соблюдения масочного  режима</w:t>
      </w:r>
    </w:p>
    <w:p w14:paraId="3B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-Меры поддержки МСП  в период ра</w:t>
      </w:r>
      <w:r>
        <w:rPr>
          <w:sz w:val="28"/>
        </w:rPr>
        <w:t xml:space="preserve">спространения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>. Вопросы налогообложения.</w:t>
      </w:r>
    </w:p>
    <w:p w14:paraId="3C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-Услуги АНО «Мой бизнес»</w:t>
      </w:r>
      <w:proofErr w:type="gramStart"/>
      <w:r>
        <w:rPr>
          <w:sz w:val="28"/>
        </w:rPr>
        <w:t xml:space="preserve"> .</w:t>
      </w:r>
      <w:proofErr w:type="gramEnd"/>
    </w:p>
    <w:p w14:paraId="3D000000" w14:textId="77777777" w:rsidR="00577067" w:rsidRDefault="001021C8" w:rsidP="001021C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-О возможности размещения товаров и услуг субъектов МСП на региональной интернет-площадке «Сделано на Вологодчине»</w:t>
      </w:r>
      <w:proofErr w:type="gramEnd"/>
    </w:p>
    <w:p w14:paraId="3E000000" w14:textId="77777777" w:rsidR="00577067" w:rsidRDefault="00577067" w:rsidP="001021C8">
      <w:pPr>
        <w:ind w:firstLine="709"/>
        <w:jc w:val="both"/>
        <w:rPr>
          <w:b/>
          <w:sz w:val="28"/>
        </w:rPr>
      </w:pPr>
    </w:p>
    <w:p w14:paraId="3F000000" w14:textId="77777777" w:rsidR="00577067" w:rsidRDefault="001021C8" w:rsidP="001021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Инвестиционный потенциал района</w:t>
      </w:r>
    </w:p>
    <w:p w14:paraId="40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На территории Белозерского р</w:t>
      </w:r>
      <w:r>
        <w:rPr>
          <w:sz w:val="28"/>
        </w:rPr>
        <w:t>айона субъектами малого и среднего бизнеса реализуются инвестиционные проекты в сфере сельского хозяйства,  торговли и предоставления услуг. В настоящее время в стадии реализации находятся следующие инвестиционные проекты:</w:t>
      </w:r>
    </w:p>
    <w:p w14:paraId="41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-  Инвестиционный проект </w:t>
      </w:r>
      <w:r>
        <w:rPr>
          <w:sz w:val="28"/>
        </w:rPr>
        <w:t xml:space="preserve">ООО СХП </w:t>
      </w:r>
      <w:r>
        <w:rPr>
          <w:sz w:val="28"/>
        </w:rPr>
        <w:t xml:space="preserve">«Чистое озеро» (д. Яковлево) </w:t>
      </w:r>
    </w:p>
    <w:p w14:paraId="42000000" w14:textId="77777777" w:rsidR="00577067" w:rsidRDefault="001021C8" w:rsidP="001021C8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Объем производства радужной форели в садках за 2022 год составил 246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(2021- 200,0 тонн.</w:t>
      </w:r>
      <w:proofErr w:type="gramEnd"/>
      <w:r>
        <w:rPr>
          <w:sz w:val="28"/>
        </w:rPr>
        <w:t xml:space="preserve"> Предприятие получило знак НВП,   участвует  в ярмарках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выставках  под брендом «Вологодская форель». В планах предприяти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 к 2025 году выйти на производственную мощность в 300 тонн товарной рыбы в год, построить цех по потрошению рыбы и цех переработки икры. Инвестор: ООО </w:t>
      </w:r>
      <w:r>
        <w:rPr>
          <w:sz w:val="28"/>
        </w:rPr>
        <w:t>СХП «Чистое озеро»</w:t>
      </w:r>
      <w:r>
        <w:rPr>
          <w:sz w:val="28"/>
        </w:rPr>
        <w:t>;</w:t>
      </w:r>
    </w:p>
    <w:p w14:paraId="43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- Осуществление </w:t>
      </w:r>
      <w:proofErr w:type="gramStart"/>
      <w:r>
        <w:rPr>
          <w:sz w:val="28"/>
        </w:rPr>
        <w:t>индустриальной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>. Организация занимается производством</w:t>
      </w:r>
      <w:r>
        <w:rPr>
          <w:sz w:val="28"/>
        </w:rPr>
        <w:t xml:space="preserve"> не только радужной форели, но и мраморного сома, сига, муксуна.   Заключен договор аренды </w:t>
      </w:r>
      <w:proofErr w:type="spellStart"/>
      <w:r>
        <w:rPr>
          <w:sz w:val="28"/>
        </w:rPr>
        <w:t>Моткоозера</w:t>
      </w:r>
      <w:proofErr w:type="spellEnd"/>
      <w:r>
        <w:rPr>
          <w:sz w:val="28"/>
        </w:rPr>
        <w:t xml:space="preserve">. Поставлено 30  садков  на максимальный объем 250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/год.</w:t>
      </w:r>
    </w:p>
    <w:p w14:paraId="44000000" w14:textId="77777777" w:rsidR="00577067" w:rsidRDefault="001021C8" w:rsidP="001021C8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- Осуществление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на озере </w:t>
      </w:r>
      <w:proofErr w:type="spellStart"/>
      <w:r>
        <w:rPr>
          <w:sz w:val="28"/>
        </w:rPr>
        <w:t>Кожино</w:t>
      </w:r>
      <w:proofErr w:type="spellEnd"/>
      <w:r>
        <w:rPr>
          <w:sz w:val="28"/>
        </w:rPr>
        <w:t xml:space="preserve">. В 2018 году на территории района сформирована  инвестиционная площадка для размещения рыбоводных комплексов: на озере </w:t>
      </w:r>
      <w:proofErr w:type="spellStart"/>
      <w:r>
        <w:rPr>
          <w:sz w:val="28"/>
        </w:rPr>
        <w:t>Кожино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Глушковское</w:t>
      </w:r>
      <w:proofErr w:type="spellEnd"/>
      <w:r>
        <w:rPr>
          <w:sz w:val="28"/>
        </w:rPr>
        <w:t xml:space="preserve"> с/п) выделен участок </w:t>
      </w:r>
      <w:r>
        <w:rPr>
          <w:sz w:val="28"/>
        </w:rPr>
        <w:lastRenderedPageBreak/>
        <w:t xml:space="preserve">площадью 10 га для развития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для осуществления индустриального рыбоводства. Проведе</w:t>
      </w:r>
      <w:r>
        <w:rPr>
          <w:sz w:val="28"/>
        </w:rPr>
        <w:t xml:space="preserve">но обследование рыбоводного участка, заключен договор на аренду земельного  участка сроком на 25 лет, договор на поставку электроэнергии, проекты садковой линии. Проведено электричество на берег, привезены 3 садка объемом 12,7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подготовительные работ</w:t>
      </w:r>
      <w:r>
        <w:rPr>
          <w:sz w:val="28"/>
        </w:rPr>
        <w:t xml:space="preserve">ы для установки садков. Планируется установка садков для разведения радужной форели, строительство </w:t>
      </w:r>
      <w:proofErr w:type="spellStart"/>
      <w:r>
        <w:rPr>
          <w:sz w:val="28"/>
        </w:rPr>
        <w:t>хозпостроек</w:t>
      </w:r>
      <w:proofErr w:type="spellEnd"/>
      <w:r>
        <w:rPr>
          <w:sz w:val="28"/>
        </w:rPr>
        <w:t>. Инвестор: Гилей Я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.;</w:t>
      </w:r>
    </w:p>
    <w:p w14:paraId="45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- Инвестиционный проект «</w:t>
      </w:r>
      <w:r>
        <w:rPr>
          <w:sz w:val="28"/>
        </w:rPr>
        <w:t xml:space="preserve">Строительство </w:t>
      </w:r>
      <w:proofErr w:type="spellStart"/>
      <w:r>
        <w:rPr>
          <w:sz w:val="28"/>
        </w:rPr>
        <w:t>апарт</w:t>
      </w:r>
      <w:proofErr w:type="spellEnd"/>
      <w:r>
        <w:rPr>
          <w:sz w:val="28"/>
        </w:rPr>
        <w:t xml:space="preserve">-отеля </w:t>
      </w:r>
      <w:proofErr w:type="spellStart"/>
      <w:r>
        <w:rPr>
          <w:sz w:val="28"/>
        </w:rPr>
        <w:t>Legenda</w:t>
      </w:r>
      <w:proofErr w:type="spellEnd"/>
      <w:r>
        <w:rPr>
          <w:sz w:val="28"/>
        </w:rPr>
        <w:t xml:space="preserve"> в городе Белозерск».</w:t>
      </w:r>
      <w:r>
        <w:rPr>
          <w:sz w:val="28"/>
        </w:rPr>
        <w:t xml:space="preserve"> </w:t>
      </w:r>
    </w:p>
    <w:p w14:paraId="46000000" w14:textId="77777777" w:rsidR="00577067" w:rsidRDefault="001021C8" w:rsidP="001021C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Реализация проекта начата в 2016 году.</w:t>
      </w:r>
      <w:r>
        <w:rPr>
          <w:sz w:val="28"/>
        </w:rPr>
        <w:t xml:space="preserve"> Инвестор «Кровельные и фасадные системы» возвратил в оборот полуразрушенное здание бывшего ПУ-40 , облагородил территорию вокруг здания, провел комплексное благоустройство прилегающей территории. Внутри здания проведены работы по инженерной и коммунальной</w:t>
      </w:r>
      <w:r>
        <w:rPr>
          <w:sz w:val="28"/>
        </w:rPr>
        <w:t xml:space="preserve"> инфраструктуре: реконструирована новая трансформаторная подстанция, проложены новые сети водопровода и канализации, проведен дренаж прилегающей территории.</w:t>
      </w:r>
    </w:p>
    <w:p w14:paraId="47000000" w14:textId="77777777" w:rsidR="00577067" w:rsidRDefault="001021C8" w:rsidP="001021C8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Апарт</w:t>
      </w:r>
      <w:proofErr w:type="spellEnd"/>
      <w:r>
        <w:rPr>
          <w:sz w:val="28"/>
        </w:rPr>
        <w:t>-отель «</w:t>
      </w:r>
      <w:proofErr w:type="spellStart"/>
      <w:r>
        <w:rPr>
          <w:sz w:val="28"/>
        </w:rPr>
        <w:t>Legenda</w:t>
      </w:r>
      <w:proofErr w:type="spellEnd"/>
      <w:r>
        <w:rPr>
          <w:sz w:val="28"/>
        </w:rPr>
        <w:t>» в Белозерске открыл свои двери для гостей 19 июня 2019 года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завершился пер</w:t>
      </w:r>
      <w:r>
        <w:rPr>
          <w:sz w:val="28"/>
        </w:rPr>
        <w:t xml:space="preserve">вый этап реализации инвестиционного проекта, введен номерной ряд и </w:t>
      </w:r>
      <w:proofErr w:type="spellStart"/>
      <w:r>
        <w:rPr>
          <w:sz w:val="28"/>
        </w:rPr>
        <w:t>аппартаменты</w:t>
      </w:r>
      <w:proofErr w:type="spellEnd"/>
      <w:r>
        <w:rPr>
          <w:sz w:val="28"/>
        </w:rPr>
        <w:t xml:space="preserve">. Для постояльцев отеля открыт прокат велосипедов, действуют </w:t>
      </w:r>
      <w:proofErr w:type="spellStart"/>
      <w:r>
        <w:rPr>
          <w:sz w:val="28"/>
        </w:rPr>
        <w:t>скидочные</w:t>
      </w:r>
      <w:proofErr w:type="spellEnd"/>
      <w:r>
        <w:rPr>
          <w:sz w:val="28"/>
        </w:rPr>
        <w:t xml:space="preserve"> клубные карты. Инфраструктура </w:t>
      </w:r>
      <w:proofErr w:type="spellStart"/>
      <w:r>
        <w:rPr>
          <w:sz w:val="28"/>
        </w:rPr>
        <w:t>апарт</w:t>
      </w:r>
      <w:proofErr w:type="spellEnd"/>
      <w:r>
        <w:rPr>
          <w:sz w:val="28"/>
        </w:rPr>
        <w:t>-отеля «</w:t>
      </w:r>
      <w:proofErr w:type="spellStart"/>
      <w:r>
        <w:rPr>
          <w:sz w:val="28"/>
        </w:rPr>
        <w:t>Legenda</w:t>
      </w:r>
      <w:proofErr w:type="spellEnd"/>
      <w:r>
        <w:rPr>
          <w:sz w:val="28"/>
        </w:rPr>
        <w:t>» - это сочетание современных технологий, надёжных систе</w:t>
      </w:r>
      <w:r>
        <w:rPr>
          <w:sz w:val="28"/>
        </w:rPr>
        <w:t>м безопасности и широкого спектра услуг.  Открыто кафе «60 параллель» вместимостью 35 человек.</w:t>
      </w:r>
    </w:p>
    <w:p w14:paraId="48000000" w14:textId="77777777" w:rsidR="00577067" w:rsidRDefault="001021C8" w:rsidP="001021C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2021 году проводилось дооснащение номерного фонда и дооборудование инженерии отеля, велась работа по благоустройству. Объем финансовых вложений составил 706,6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</w:t>
      </w:r>
    </w:p>
    <w:p w14:paraId="49000000" w14:textId="77777777" w:rsidR="00577067" w:rsidRDefault="001021C8" w:rsidP="001021C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2022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ткрылся</w:t>
      </w:r>
      <w:proofErr w:type="spellEnd"/>
      <w:r>
        <w:rPr>
          <w:sz w:val="28"/>
        </w:rPr>
        <w:t xml:space="preserve"> суши-бар сети «Суши 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».</w:t>
      </w:r>
    </w:p>
    <w:p w14:paraId="4A000000" w14:textId="77777777" w:rsidR="00577067" w:rsidRDefault="001021C8" w:rsidP="001021C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планах развития проекта: строительство второй линии гостиничного комплекса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внедрение нового  формата для  размещения), ландшафтное благоустройство сквера, строительство бассейна. Инвестор: ООО «Крове</w:t>
      </w:r>
      <w:r>
        <w:rPr>
          <w:sz w:val="28"/>
        </w:rPr>
        <w:t>льные и фасадные системы»;</w:t>
      </w:r>
    </w:p>
    <w:p w14:paraId="4B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В 2021 г. </w:t>
      </w:r>
      <w:proofErr w:type="gramStart"/>
      <w:r>
        <w:rPr>
          <w:sz w:val="28"/>
        </w:rPr>
        <w:t>реализованы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инвестпроекты</w:t>
      </w:r>
      <w:proofErr w:type="spellEnd"/>
      <w:r>
        <w:rPr>
          <w:sz w:val="28"/>
        </w:rPr>
        <w:t xml:space="preserve"> субъектами МСП:</w:t>
      </w:r>
    </w:p>
    <w:p w14:paraId="4C000000" w14:textId="77777777" w:rsidR="00577067" w:rsidRDefault="001021C8" w:rsidP="001021C8">
      <w:pPr>
        <w:pStyle w:val="ac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 xml:space="preserve">- </w:t>
      </w:r>
      <w:r>
        <w:rPr>
          <w:sz w:val="28"/>
        </w:rPr>
        <w:t>С</w:t>
      </w:r>
      <w:r>
        <w:rPr>
          <w:sz w:val="28"/>
          <w:u w:val="single"/>
        </w:rPr>
        <w:t>т</w:t>
      </w:r>
      <w:r>
        <w:rPr>
          <w:sz w:val="28"/>
        </w:rPr>
        <w:t>роительство здания для технологических нужд ООО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». Инвестор: ООО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»;</w:t>
      </w:r>
    </w:p>
    <w:p w14:paraId="4D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 xml:space="preserve">         - Ремонт животноводческого комплекса СХА (ко</w:t>
      </w:r>
      <w:r>
        <w:rPr>
          <w:sz w:val="28"/>
        </w:rPr>
        <w:t>лхоз) «Рассвет». Инвестор СХА (колхоз) «Рассвет».</w:t>
      </w:r>
    </w:p>
    <w:p w14:paraId="4E000000" w14:textId="77777777" w:rsidR="00577067" w:rsidRDefault="00577067" w:rsidP="001021C8">
      <w:pPr>
        <w:ind w:firstLine="709"/>
        <w:jc w:val="both"/>
        <w:rPr>
          <w:b/>
          <w:sz w:val="28"/>
        </w:rPr>
      </w:pPr>
    </w:p>
    <w:p w14:paraId="4F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Информация об инвестиционных площадках района размещена на сайте</w:t>
      </w:r>
      <w:r>
        <w:rPr>
          <w:sz w:val="24"/>
        </w:rPr>
        <w:t xml:space="preserve"> </w:t>
      </w:r>
      <w:r>
        <w:rPr>
          <w:sz w:val="28"/>
        </w:rPr>
        <w:t xml:space="preserve">Белозерского муниципального района </w:t>
      </w:r>
      <w:hyperlink r:id="rId5" w:history="1">
        <w:r>
          <w:rPr>
            <w:rStyle w:val="af0"/>
            <w:sz w:val="28"/>
          </w:rPr>
          <w:t>https://belozer.ru/investitsionnaya-deyatelno</w:t>
        </w:r>
        <w:r>
          <w:rPr>
            <w:rStyle w:val="af0"/>
            <w:sz w:val="28"/>
          </w:rPr>
          <w:t>st/</w:t>
        </w:r>
      </w:hyperlink>
    </w:p>
    <w:p w14:paraId="50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Основные проблемы, препятствующие реализации инвестиционных проектов,  на территории района:</w:t>
      </w:r>
    </w:p>
    <w:p w14:paraId="51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 недостаток собственных финансовых ресурсов;</w:t>
      </w:r>
    </w:p>
    <w:p w14:paraId="52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недоступность финансовых ресурсов;</w:t>
      </w:r>
    </w:p>
    <w:p w14:paraId="53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- недостаток квалифицированных трудовых ресурсов;</w:t>
      </w:r>
    </w:p>
    <w:p w14:paraId="54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отдаленность инвест</w:t>
      </w:r>
      <w:r>
        <w:rPr>
          <w:sz w:val="28"/>
        </w:rPr>
        <w:t>иционных площадок от районного центра;</w:t>
      </w:r>
    </w:p>
    <w:p w14:paraId="55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- частичная обеспеченность инвестиционных площадок инженерной инфраструктурой;</w:t>
      </w:r>
    </w:p>
    <w:p w14:paraId="56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- плохое состояние дорог в сельской местности до обозначенных инвестиционных площадок.</w:t>
      </w:r>
    </w:p>
    <w:p w14:paraId="57000000" w14:textId="77777777" w:rsidR="00577067" w:rsidRDefault="001021C8" w:rsidP="001021C8">
      <w:pPr>
        <w:pStyle w:val="a6"/>
        <w:tabs>
          <w:tab w:val="left" w:pos="708"/>
        </w:tabs>
        <w:ind w:left="0" w:firstLine="709"/>
        <w:jc w:val="both"/>
        <w:rPr>
          <w:sz w:val="28"/>
        </w:rPr>
      </w:pPr>
      <w:r>
        <w:rPr>
          <w:sz w:val="28"/>
        </w:rPr>
        <w:t>Для решения проблем в районе проводится работа по р</w:t>
      </w:r>
      <w:r>
        <w:rPr>
          <w:sz w:val="28"/>
        </w:rPr>
        <w:t>емонту дорог, разрабатываются документы территориального планирования и градостроительного зонирования поселений</w:t>
      </w:r>
      <w:proofErr w:type="gramStart"/>
      <w:r>
        <w:rPr>
          <w:sz w:val="28"/>
        </w:rPr>
        <w:t xml:space="preserve"> .</w:t>
      </w:r>
      <w:proofErr w:type="gramEnd"/>
    </w:p>
    <w:p w14:paraId="58000000" w14:textId="77777777" w:rsidR="00577067" w:rsidRDefault="00577067" w:rsidP="001021C8">
      <w:pPr>
        <w:ind w:firstLine="709"/>
        <w:jc w:val="both"/>
        <w:rPr>
          <w:b/>
          <w:sz w:val="28"/>
        </w:rPr>
      </w:pPr>
    </w:p>
    <w:p w14:paraId="59000000" w14:textId="77777777" w:rsidR="00577067" w:rsidRDefault="00577067" w:rsidP="001021C8">
      <w:pPr>
        <w:ind w:firstLine="709"/>
        <w:jc w:val="both"/>
        <w:rPr>
          <w:sz w:val="28"/>
        </w:rPr>
      </w:pPr>
    </w:p>
    <w:p w14:paraId="5A000000" w14:textId="77777777" w:rsidR="00577067" w:rsidRDefault="001021C8" w:rsidP="001021C8">
      <w:pPr>
        <w:ind w:firstLine="709"/>
        <w:jc w:val="both"/>
        <w:rPr>
          <w:sz w:val="28"/>
        </w:rPr>
      </w:pPr>
      <w:r>
        <w:rPr>
          <w:sz w:val="28"/>
        </w:rPr>
        <w:t>.</w:t>
      </w:r>
    </w:p>
    <w:sectPr w:rsidR="00577067">
      <w:pgSz w:w="11906" w:h="16838"/>
      <w:pgMar w:top="709" w:right="850" w:bottom="568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77067"/>
    <w:rsid w:val="001021C8"/>
    <w:rsid w:val="005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l-obj">
    <w:name w:val="hl-obj"/>
    <w:basedOn w:val="12"/>
    <w:link w:val="hl-obj0"/>
  </w:style>
  <w:style w:type="character" w:customStyle="1" w:styleId="hl-obj0">
    <w:name w:val="hl-obj"/>
    <w:basedOn w:val="a0"/>
    <w:link w:val="hl-obj"/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0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a">
    <w:name w:val="No Spacing"/>
    <w:link w:val="a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  <w:rPr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ae">
    <w:name w:val="Рабочий"/>
    <w:basedOn w:val="aa"/>
    <w:link w:val="af"/>
    <w:rPr>
      <w:sz w:val="24"/>
    </w:rPr>
  </w:style>
  <w:style w:type="character" w:customStyle="1" w:styleId="af">
    <w:name w:val="Рабочий"/>
    <w:basedOn w:val="ab"/>
    <w:link w:val="ae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pacing w:val="24"/>
      <w:sz w:val="28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  <w:link w:val="af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pPr>
      <w:ind w:firstLine="539"/>
      <w:jc w:val="center"/>
    </w:pPr>
    <w:rPr>
      <w:b/>
      <w:sz w:val="36"/>
    </w:rPr>
  </w:style>
  <w:style w:type="character" w:customStyle="1" w:styleId="af4">
    <w:name w:val="Название Знак"/>
    <w:basedOn w:val="1"/>
    <w:link w:val="af3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l-obj">
    <w:name w:val="hl-obj"/>
    <w:basedOn w:val="12"/>
    <w:link w:val="hl-obj0"/>
  </w:style>
  <w:style w:type="character" w:customStyle="1" w:styleId="hl-obj0">
    <w:name w:val="hl-obj"/>
    <w:basedOn w:val="a0"/>
    <w:link w:val="hl-obj"/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0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a">
    <w:name w:val="No Spacing"/>
    <w:link w:val="a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  <w:rPr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ae">
    <w:name w:val="Рабочий"/>
    <w:basedOn w:val="aa"/>
    <w:link w:val="af"/>
    <w:rPr>
      <w:sz w:val="24"/>
    </w:rPr>
  </w:style>
  <w:style w:type="character" w:customStyle="1" w:styleId="af">
    <w:name w:val="Рабочий"/>
    <w:basedOn w:val="ab"/>
    <w:link w:val="ae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pacing w:val="24"/>
      <w:sz w:val="28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  <w:link w:val="af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pPr>
      <w:ind w:firstLine="539"/>
      <w:jc w:val="center"/>
    </w:pPr>
    <w:rPr>
      <w:b/>
      <w:sz w:val="36"/>
    </w:rPr>
  </w:style>
  <w:style w:type="character" w:customStyle="1" w:styleId="af4">
    <w:name w:val="Название Знак"/>
    <w:basedOn w:val="1"/>
    <w:link w:val="af3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ozer.ru/investitsionnaya-dey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Немцева Е.Л.</cp:lastModifiedBy>
  <cp:revision>2</cp:revision>
  <dcterms:created xsi:type="dcterms:W3CDTF">2023-07-07T05:52:00Z</dcterms:created>
  <dcterms:modified xsi:type="dcterms:W3CDTF">2023-07-07T05:53:00Z</dcterms:modified>
</cp:coreProperties>
</file>